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AA" w:rsidRPr="00321CC7" w:rsidRDefault="00AC3FAA" w:rsidP="00CF18C6">
      <w:pPr>
        <w:spacing w:after="0"/>
        <w:rPr>
          <w:rFonts w:ascii="Arial" w:hAnsi="Arial" w:cs="Arial"/>
          <w:color w:val="222222"/>
          <w:sz w:val="24"/>
          <w:szCs w:val="24"/>
          <w:shd w:val="clear" w:color="auto" w:fill="FFFFFF"/>
        </w:rPr>
      </w:pPr>
    </w:p>
    <w:p w:rsidR="00C50B3E" w:rsidRPr="00321CC7" w:rsidRDefault="00D15675" w:rsidP="00CF18C6">
      <w:pPr>
        <w:spacing w:after="0"/>
        <w:rPr>
          <w:rFonts w:ascii="Arial" w:hAnsi="Arial" w:cs="Arial"/>
          <w:color w:val="222222"/>
          <w:sz w:val="24"/>
          <w:szCs w:val="24"/>
          <w:shd w:val="clear" w:color="auto" w:fill="FFFFFF"/>
        </w:rPr>
      </w:pP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p>
    <w:p w:rsidR="003834B4" w:rsidRPr="003834B4" w:rsidRDefault="003834B4" w:rsidP="003834B4">
      <w:pPr>
        <w:tabs>
          <w:tab w:val="left" w:pos="4290"/>
        </w:tabs>
        <w:spacing w:after="0" w:line="240" w:lineRule="auto"/>
        <w:rPr>
          <w:rFonts w:ascii="Calibri" w:hAnsi="Calibri"/>
        </w:rPr>
      </w:pPr>
    </w:p>
    <w:p w:rsidR="000B215E" w:rsidRPr="000B215E" w:rsidRDefault="000B215E" w:rsidP="000B215E">
      <w:pPr>
        <w:pStyle w:val="Title"/>
        <w:pBdr>
          <w:top w:val="single" w:sz="24" w:space="1" w:color="auto"/>
          <w:bottom w:val="single" w:sz="24" w:space="1" w:color="auto"/>
        </w:pBdr>
        <w:spacing w:after="120" w:line="264" w:lineRule="auto"/>
        <w:rPr>
          <w:rFonts w:ascii="Verdana" w:hAnsi="Verdana"/>
          <w:b/>
          <w:i/>
          <w:sz w:val="100"/>
          <w:szCs w:val="100"/>
        </w:rPr>
      </w:pPr>
      <w:r>
        <w:rPr>
          <w:noProof/>
        </w:rPr>
        <mc:AlternateContent>
          <mc:Choice Requires="wpg">
            <w:drawing>
              <wp:anchor distT="0" distB="0" distL="114300" distR="114300" simplePos="0" relativeHeight="251659264" behindDoc="0" locked="0" layoutInCell="1" allowOverlap="1" wp14:anchorId="49822230" wp14:editId="2066570B">
                <wp:simplePos x="0" y="0"/>
                <wp:positionH relativeFrom="column">
                  <wp:posOffset>3497580</wp:posOffset>
                </wp:positionH>
                <wp:positionV relativeFrom="paragraph">
                  <wp:posOffset>155295</wp:posOffset>
                </wp:positionV>
                <wp:extent cx="1482090" cy="1482090"/>
                <wp:effectExtent l="38100" t="38100" r="60960" b="6096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090" cy="1482090"/>
                          <a:chOff x="0" y="0"/>
                          <a:chExt cx="2148840" cy="2148840"/>
                        </a:xfrm>
                      </wpg:grpSpPr>
                      <wps:wsp>
                        <wps:cNvPr id="6" name="Oval 3"/>
                        <wps:cNvSpPr>
                          <a:spLocks noChangeArrowheads="1"/>
                        </wps:cNvSpPr>
                        <wps:spPr bwMode="auto">
                          <a:xfrm>
                            <a:off x="0" y="0"/>
                            <a:ext cx="2148840" cy="2148840"/>
                          </a:xfrm>
                          <a:prstGeom prst="ellipse">
                            <a:avLst/>
                          </a:prstGeom>
                          <a:noFill/>
                          <a:ln w="88900"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4"/>
                        <wpg:cNvGrpSpPr>
                          <a:grpSpLocks/>
                        </wpg:cNvGrpSpPr>
                        <wpg:grpSpPr bwMode="auto">
                          <a:xfrm>
                            <a:off x="340242" y="552894"/>
                            <a:ext cx="1466850" cy="1235710"/>
                            <a:chOff x="8499" y="3430"/>
                            <a:chExt cx="2310" cy="1946"/>
                          </a:xfrm>
                        </wpg:grpSpPr>
                        <wps:wsp>
                          <wps:cNvPr id="8" name="Rectangle 5"/>
                          <wps:cNvSpPr>
                            <a:spLocks noChangeArrowheads="1"/>
                          </wps:cNvSpPr>
                          <wps:spPr bwMode="auto">
                            <a:xfrm>
                              <a:off x="8499" y="3430"/>
                              <a:ext cx="2310" cy="519"/>
                            </a:xfrm>
                            <a:prstGeom prst="rect">
                              <a:avLst/>
                            </a:prstGeom>
                            <a:solidFill>
                              <a:sysClr val="windowText" lastClr="000000"/>
                            </a:solidFill>
                            <a:ln w="9525">
                              <a:no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rot="16200000">
                              <a:off x="8705" y="4130"/>
                              <a:ext cx="1890" cy="601"/>
                            </a:xfrm>
                            <a:prstGeom prst="rect">
                              <a:avLst/>
                            </a:prstGeom>
                            <a:solidFill>
                              <a:sysClr val="windowText" lastClr="000000"/>
                            </a:solidFill>
                            <a:ln w="9525">
                              <a:no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75.4pt;margin-top:12.25pt;width:116.7pt;height:116.7pt;z-index:251659264" coordsize="21488,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">
                <v:oval id="Oval 3" o:spid="_x0000_s1027" style="position:absolute;width:21488;height:2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yp74A&#10;AADaAAAADwAAAGRycy9kb3ducmV2LnhtbESPzQrCMBCE74LvEFbwIprqoUo1ij8oXq0+wNKsbbHZ&#10;lCZq9emNIHgcZuYbZrFqTSUe1LjSsoLxKAJBnFldcq7gct4PZyCcR9ZYWSYFL3KwWnY7C0y0ffKJ&#10;HqnPRYCwS1BB4X2dSOmyggy6ka2Jg3e1jUEfZJNL3eAzwE0lJ1EUS4Mlh4UCa9oWlN3Su1Hw3qS7&#10;w97jdHyITH1p3/HghrFS/V67noPw1Pp/+Nc+agUx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wcqe+AAAA2gAAAA8AAAAAAAAAAAAAAAAAmAIAAGRycy9kb3ducmV2&#10;LnhtbFBLBQYAAAAABAAEAPUAAACDAwAAAAA=&#10;" filled="f" strokecolor="windowText" strokeweight="7pt"/>
                <v:group id="Group 4" o:spid="_x0000_s1028" style="position:absolute;left:3402;top:5528;width:14668;height:12358" coordorigin="8499,3430" coordsize="2310,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29" style="position:absolute;left:8499;top:3430;width:231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6Qr8A&#10;AADaAAAADwAAAGRycy9kb3ducmV2LnhtbERPTYvCMBC9C/sfwix4EU1VcKUaRQQX0YPoiuehGdtq&#10;MynNrNZ/bw4Le3y87/mydZV6UBNKzwaGgwQUceZtybmB88+mPwUVBNli5ZkMvCjAcvHRmWNq/ZOP&#10;9DhJrmIIhxQNFCJ1qnXICnIYBr4mjtzVNw4lwibXtsFnDHeVHiXJRDssOTYUWNO6oOx++nUG7GU0&#10;7X0Jfte7g761ct/78XFvTPezXc1ACbXyL/5zb62BuDVeiTdAL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vpCvwAAANoAAAAPAAAAAAAAAAAAAAAAAJgCAABkcnMvZG93bnJl&#10;di54bWxQSwUGAAAAAAQABAD1AAAAhAMAAAAA&#10;" fillcolor="windowText" stroked="f"/>
                  <v:rect id="Rectangle 6" o:spid="_x0000_s1030" style="position:absolute;left:8705;top:4130;width:1890;height:6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wkMIA&#10;AADbAAAADwAAAGRycy9kb3ducmV2LnhtbERPTWvCQBC9C/6HZYReim5a2iLRVaK0InjSCnocsmM2&#10;mJ0N2Y1J/31XELzN433OfNnbStyo8aVjBW+TBARx7nTJhYLj7894CsIHZI2VY1LwRx6Wi+Fgjql2&#10;He/pdgiFiCHsU1RgQqhTKX1uyKKfuJo4chfXWAwRNoXUDXYx3FbyPUm+pMWSY4PBmtaG8uuhtQoq&#10;WZhst87Md+tOq83npj1251elXkZ9NgMRqA9P8cO91XH+B9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3CQwgAAANsAAAAPAAAAAAAAAAAAAAAAAJgCAABkcnMvZG93&#10;bnJldi54bWxQSwUGAAAAAAQABAD1AAAAhwMAAAAA&#10;" fillcolor="windowText" stroked="f"/>
                </v:group>
              </v:group>
            </w:pict>
          </mc:Fallback>
        </mc:AlternateContent>
      </w:r>
      <w:r w:rsidR="004748A1">
        <w:rPr>
          <w:rFonts w:ascii="Verdana" w:hAnsi="Verdana"/>
          <w:b/>
          <w:i/>
          <w:sz w:val="100"/>
          <w:szCs w:val="100"/>
        </w:rPr>
        <w:t xml:space="preserve">MBTA </w:t>
      </w:r>
      <w:r w:rsidR="004748A1">
        <w:rPr>
          <w:rFonts w:ascii="Verdana" w:hAnsi="Verdana"/>
          <w:b/>
          <w:i/>
          <w:sz w:val="100"/>
          <w:szCs w:val="100"/>
        </w:rPr>
        <w:br/>
        <w:t xml:space="preserve">Capital </w:t>
      </w:r>
    </w:p>
    <w:p w:rsidR="000B215E" w:rsidRPr="00AF6541" w:rsidRDefault="004748A1" w:rsidP="000B215E">
      <w:pPr>
        <w:pStyle w:val="Title"/>
        <w:pBdr>
          <w:top w:val="single" w:sz="24" w:space="1" w:color="auto"/>
          <w:bottom w:val="single" w:sz="24" w:space="1" w:color="auto"/>
        </w:pBdr>
        <w:spacing w:after="120" w:line="264" w:lineRule="auto"/>
        <w:rPr>
          <w:rFonts w:ascii="Verdana" w:hAnsi="Verdana"/>
          <w:b/>
          <w:i/>
          <w:sz w:val="100"/>
          <w:szCs w:val="100"/>
        </w:rPr>
      </w:pPr>
      <w:r>
        <w:rPr>
          <w:rFonts w:ascii="Verdana" w:hAnsi="Verdana"/>
          <w:b/>
          <w:i/>
          <w:sz w:val="100"/>
          <w:szCs w:val="100"/>
        </w:rPr>
        <w:t xml:space="preserve">Expense </w:t>
      </w:r>
      <w:r w:rsidR="000B215E" w:rsidRPr="00AF6541">
        <w:rPr>
          <w:rFonts w:ascii="Verdana" w:hAnsi="Verdana"/>
          <w:b/>
          <w:i/>
          <w:sz w:val="100"/>
          <w:szCs w:val="100"/>
        </w:rPr>
        <w:t>Policy</w:t>
      </w:r>
    </w:p>
    <w:p w:rsidR="000B215E" w:rsidRPr="000B215E" w:rsidRDefault="000B215E" w:rsidP="000B215E">
      <w:pPr>
        <w:rPr>
          <w:color w:val="000000"/>
          <w:sz w:val="20"/>
          <w:szCs w:val="20"/>
        </w:rPr>
      </w:pPr>
    </w:p>
    <w:p w:rsidR="000B215E" w:rsidRPr="00A80718" w:rsidRDefault="00A80718" w:rsidP="00A80718">
      <w:pPr>
        <w:spacing w:after="120"/>
        <w:rPr>
          <w:rFonts w:ascii="Arial" w:eastAsia="Times New Roman" w:hAnsi="Arial"/>
          <w:color w:val="000000" w:themeColor="text1"/>
          <w:sz w:val="32"/>
          <w:szCs w:val="32"/>
        </w:rPr>
      </w:pPr>
      <w:r w:rsidRPr="00A80718">
        <w:rPr>
          <w:rFonts w:ascii="Arial" w:eastAsia="Times New Roman" w:hAnsi="Arial"/>
          <w:color w:val="000000" w:themeColor="text1"/>
          <w:sz w:val="32"/>
          <w:szCs w:val="32"/>
        </w:rPr>
        <w:t xml:space="preserve">Policy on the </w:t>
      </w:r>
      <w:r w:rsidR="004748A1">
        <w:rPr>
          <w:rFonts w:ascii="Arial" w:eastAsia="Times New Roman" w:hAnsi="Arial"/>
          <w:color w:val="000000" w:themeColor="text1"/>
          <w:sz w:val="32"/>
          <w:szCs w:val="32"/>
        </w:rPr>
        <w:t>Uses of Capital Funds</w:t>
      </w:r>
    </w:p>
    <w:p w:rsidR="00A80718" w:rsidRDefault="00A80718" w:rsidP="000B215E">
      <w:pPr>
        <w:pStyle w:val="Subtitle"/>
        <w:rPr>
          <w:color w:val="000000"/>
          <w:sz w:val="20"/>
          <w:szCs w:val="20"/>
        </w:rPr>
      </w:pPr>
    </w:p>
    <w:p w:rsidR="000B215E" w:rsidRPr="000B215E" w:rsidRDefault="000B215E" w:rsidP="000B215E">
      <w:pPr>
        <w:pStyle w:val="Subtitle"/>
        <w:rPr>
          <w:color w:val="000000"/>
          <w:sz w:val="20"/>
          <w:szCs w:val="20"/>
        </w:rPr>
      </w:pPr>
      <w:r w:rsidRPr="000B215E">
        <w:rPr>
          <w:color w:val="000000"/>
          <w:sz w:val="20"/>
          <w:szCs w:val="20"/>
        </w:rPr>
        <w:t>MBTA Fiscal and Management Control Board</w:t>
      </w:r>
      <w:r w:rsidRPr="000B215E">
        <w:rPr>
          <w:color w:val="000000"/>
          <w:sz w:val="20"/>
          <w:szCs w:val="20"/>
        </w:rPr>
        <w:br/>
      </w:r>
      <w:r w:rsidRPr="004748A1">
        <w:rPr>
          <w:color w:val="000000"/>
          <w:sz w:val="20"/>
          <w:szCs w:val="20"/>
          <w:highlight w:val="yellow"/>
        </w:rPr>
        <w:t>Approved</w:t>
      </w:r>
      <w:r w:rsidR="00EE7782">
        <w:rPr>
          <w:color w:val="000000"/>
          <w:sz w:val="20"/>
          <w:szCs w:val="20"/>
          <w:highlight w:val="yellow"/>
        </w:rPr>
        <w:t xml:space="preserve"> _</w:t>
      </w:r>
      <w:bookmarkStart w:id="0" w:name="_GoBack"/>
      <w:bookmarkEnd w:id="0"/>
      <w:r w:rsidRPr="004748A1">
        <w:rPr>
          <w:color w:val="000000"/>
          <w:sz w:val="20"/>
          <w:szCs w:val="20"/>
          <w:highlight w:val="yellow"/>
        </w:rPr>
        <w:t xml:space="preserve"> </w:t>
      </w:r>
    </w:p>
    <w:p w:rsidR="000B215E" w:rsidRDefault="000B215E" w:rsidP="000B215E">
      <w:pPr>
        <w:tabs>
          <w:tab w:val="left" w:pos="2685"/>
        </w:tabs>
        <w:rPr>
          <w:rFonts w:ascii="Arial Narrow" w:hAnsi="Arial Narrow"/>
          <w:b/>
          <w:sz w:val="28"/>
        </w:rPr>
      </w:pPr>
    </w:p>
    <w:p w:rsidR="000B215E" w:rsidRDefault="000B215E" w:rsidP="000B215E">
      <w:pPr>
        <w:tabs>
          <w:tab w:val="left" w:pos="2685"/>
        </w:tabs>
        <w:rPr>
          <w:rFonts w:ascii="Arial Narrow" w:hAnsi="Arial Narrow"/>
          <w:b/>
          <w:sz w:val="28"/>
        </w:rPr>
      </w:pPr>
    </w:p>
    <w:p w:rsidR="000B215E" w:rsidRDefault="000B215E" w:rsidP="000B215E">
      <w:pPr>
        <w:tabs>
          <w:tab w:val="left" w:pos="2685"/>
        </w:tabs>
        <w:rPr>
          <w:rFonts w:ascii="Arial Narrow" w:hAnsi="Arial Narrow"/>
          <w:b/>
          <w:sz w:val="28"/>
        </w:rPr>
      </w:pPr>
    </w:p>
    <w:p w:rsidR="000B215E" w:rsidRDefault="000B215E" w:rsidP="000B215E">
      <w:pPr>
        <w:tabs>
          <w:tab w:val="left" w:pos="2685"/>
        </w:tabs>
        <w:rPr>
          <w:rFonts w:ascii="Arial Narrow" w:hAnsi="Arial Narrow"/>
          <w:b/>
          <w:sz w:val="28"/>
        </w:rPr>
      </w:pPr>
    </w:p>
    <w:p w:rsidR="000B215E" w:rsidRPr="00CF6892" w:rsidRDefault="000B215E" w:rsidP="000B215E">
      <w:pPr>
        <w:tabs>
          <w:tab w:val="left" w:pos="2685"/>
        </w:tabs>
        <w:rPr>
          <w:b/>
        </w:rPr>
      </w:pPr>
    </w:p>
    <w:p w:rsidR="000B215E" w:rsidRDefault="000B215E" w:rsidP="000B215E">
      <w:pPr>
        <w:spacing w:after="160" w:line="259" w:lineRule="auto"/>
        <w:rPr>
          <w:b/>
        </w:rPr>
      </w:pPr>
      <w:r>
        <w:rPr>
          <w:noProof/>
        </w:rPr>
        <w:drawing>
          <wp:inline distT="0" distB="0" distL="0" distR="0" wp14:anchorId="1125FF0A" wp14:editId="79B5E564">
            <wp:extent cx="2657475" cy="495300"/>
            <wp:effectExtent l="0" t="0" r="9525" b="0"/>
            <wp:docPr id="4" name="Picture 1" descr="MBTA Logo, Massachusetts Bay Transport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 Massachusetts Bay Transportation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p>
    <w:p w:rsidR="003834B4" w:rsidRDefault="003834B4" w:rsidP="003834B4">
      <w:pPr>
        <w:tabs>
          <w:tab w:val="left" w:pos="4290"/>
        </w:tabs>
        <w:spacing w:after="0" w:line="240" w:lineRule="auto"/>
        <w:rPr>
          <w:rFonts w:ascii="Calibri" w:hAnsi="Calibri" w:cs="Arial"/>
        </w:rPr>
      </w:pPr>
    </w:p>
    <w:p w:rsidR="000B215E" w:rsidRDefault="000B215E" w:rsidP="003834B4">
      <w:pPr>
        <w:tabs>
          <w:tab w:val="left" w:pos="4290"/>
        </w:tabs>
        <w:spacing w:after="0" w:line="240" w:lineRule="auto"/>
        <w:rPr>
          <w:rFonts w:ascii="Calibri" w:hAnsi="Calibri" w:cs="Arial"/>
        </w:rPr>
      </w:pPr>
    </w:p>
    <w:p w:rsidR="000B215E" w:rsidRDefault="000B215E" w:rsidP="003834B4">
      <w:pPr>
        <w:tabs>
          <w:tab w:val="left" w:pos="4290"/>
        </w:tabs>
        <w:spacing w:after="0" w:line="240" w:lineRule="auto"/>
        <w:rPr>
          <w:rFonts w:ascii="Calibri" w:hAnsi="Calibri" w:cs="Arial"/>
        </w:rPr>
      </w:pPr>
    </w:p>
    <w:p w:rsidR="000B215E" w:rsidRDefault="000B215E" w:rsidP="003834B4">
      <w:pPr>
        <w:tabs>
          <w:tab w:val="left" w:pos="4290"/>
        </w:tabs>
        <w:spacing w:after="0" w:line="240" w:lineRule="auto"/>
        <w:rPr>
          <w:rFonts w:ascii="Calibri" w:hAnsi="Calibri" w:cs="Arial"/>
        </w:rPr>
      </w:pPr>
    </w:p>
    <w:p w:rsidR="000B215E" w:rsidRDefault="000B215E" w:rsidP="003834B4">
      <w:pPr>
        <w:tabs>
          <w:tab w:val="left" w:pos="4290"/>
        </w:tabs>
        <w:spacing w:after="0" w:line="240" w:lineRule="auto"/>
        <w:rPr>
          <w:rFonts w:ascii="Calibri" w:hAnsi="Calibri" w:cs="Arial"/>
        </w:rPr>
      </w:pPr>
    </w:p>
    <w:p w:rsidR="000B215E" w:rsidRDefault="000B215E" w:rsidP="003834B4">
      <w:pPr>
        <w:tabs>
          <w:tab w:val="left" w:pos="4290"/>
        </w:tabs>
        <w:spacing w:after="0" w:line="240" w:lineRule="auto"/>
        <w:rPr>
          <w:rFonts w:ascii="Calibri" w:hAnsi="Calibri" w:cs="Arial"/>
        </w:rPr>
      </w:pPr>
    </w:p>
    <w:p w:rsidR="00A80718" w:rsidRPr="003834B4" w:rsidRDefault="00A80718" w:rsidP="003834B4">
      <w:pPr>
        <w:tabs>
          <w:tab w:val="left" w:pos="4290"/>
        </w:tabs>
        <w:spacing w:after="0" w:line="240" w:lineRule="auto"/>
        <w:rPr>
          <w:rFonts w:ascii="Calibri" w:hAnsi="Calibri" w:cs="Arial"/>
        </w:rPr>
      </w:pPr>
    </w:p>
    <w:p w:rsidR="00501379" w:rsidRPr="00501379" w:rsidRDefault="00501379" w:rsidP="00501379">
      <w:pPr>
        <w:pStyle w:val="Heading1"/>
        <w:rPr>
          <w:sz w:val="56"/>
        </w:rPr>
      </w:pPr>
      <w:r w:rsidRPr="00501379">
        <w:rPr>
          <w:color w:val="000000" w:themeColor="text1"/>
        </w:rPr>
        <w:lastRenderedPageBreak/>
        <w:t xml:space="preserve">Policy on </w:t>
      </w:r>
      <w:r w:rsidR="004748A1">
        <w:rPr>
          <w:color w:val="000000" w:themeColor="text1"/>
        </w:rPr>
        <w:t>the Uses of Capital Funds</w:t>
      </w:r>
    </w:p>
    <w:p w:rsidR="003834B4" w:rsidRPr="004748A1" w:rsidRDefault="000D3CE9" w:rsidP="004748A1">
      <w:pPr>
        <w:pStyle w:val="Heading2"/>
      </w:pPr>
      <w:r>
        <w:t xml:space="preserve">I. </w:t>
      </w:r>
      <w:r w:rsidR="004748A1">
        <w:t>Purpose</w:t>
      </w:r>
    </w:p>
    <w:p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The purpose of this policy is to provide high-level guidance on appropriate uses of capital funds, consistent with MGL Chapter 46 of the Acts 2015, Section 169, Chapter 53 of Title 49, United States Code, as amended by Fixing America's Surface Transportation Act, and relevant Federal grant guidance and circulars.  Clear guidance on capital expenses will help ensure that the authority does not commingle funds between its operating and capital budgets and allow for the efficient and effective use of available capital resources to deliver the MBTA’s capital plan.</w:t>
      </w:r>
    </w:p>
    <w:p w:rsidR="004748A1" w:rsidRPr="004748A1" w:rsidRDefault="004748A1" w:rsidP="004748A1">
      <w:pPr>
        <w:pStyle w:val="MediumGrid21"/>
        <w:jc w:val="both"/>
        <w:rPr>
          <w:rFonts w:ascii="Calibri" w:hAnsi="Calibri"/>
          <w:sz w:val="24"/>
          <w:szCs w:val="24"/>
        </w:rPr>
      </w:pPr>
    </w:p>
    <w:p w:rsidR="004748A1" w:rsidRPr="003834B4" w:rsidRDefault="004748A1" w:rsidP="004748A1">
      <w:pPr>
        <w:pStyle w:val="MediumGrid21"/>
        <w:jc w:val="both"/>
        <w:rPr>
          <w:rFonts w:ascii="Calibri" w:hAnsi="Calibri"/>
          <w:sz w:val="24"/>
          <w:szCs w:val="24"/>
        </w:rPr>
      </w:pPr>
      <w:r w:rsidRPr="004748A1">
        <w:rPr>
          <w:rFonts w:ascii="Calibri" w:hAnsi="Calibri"/>
          <w:sz w:val="24"/>
          <w:szCs w:val="24"/>
        </w:rPr>
        <w:t>This policy will be supplemented by detailed implementation guidance, including standard operating procedures for capital planning, programming, budgeting, and execution, to include timekeeping, accounting, and internal controls.</w:t>
      </w:r>
    </w:p>
    <w:p w:rsidR="003834B4" w:rsidRPr="004748A1" w:rsidRDefault="000D3CE9" w:rsidP="004748A1">
      <w:pPr>
        <w:pStyle w:val="Heading2"/>
      </w:pPr>
      <w:r>
        <w:t xml:space="preserve">II. </w:t>
      </w:r>
      <w:r w:rsidR="004748A1">
        <w:t>Definitions</w:t>
      </w:r>
    </w:p>
    <w:p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For the purposes of capital planning and budgeting, the following definitions apply:</w:t>
      </w:r>
    </w:p>
    <w:p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 xml:space="preserve"> </w:t>
      </w:r>
    </w:p>
    <w:p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Investment Plan (CIP)</w:t>
      </w:r>
      <w:r w:rsidRPr="004748A1">
        <w:rPr>
          <w:rFonts w:ascii="Calibri" w:hAnsi="Calibri"/>
          <w:sz w:val="24"/>
          <w:szCs w:val="24"/>
        </w:rPr>
        <w:t xml:space="preserve"> is the MBTA’s rolling five-year capital plan that aligns anticipated sources of capital funds with capital projects planned during the five-year window.</w:t>
      </w:r>
    </w:p>
    <w:p w:rsidR="004748A1" w:rsidRPr="004748A1" w:rsidRDefault="004748A1" w:rsidP="004748A1">
      <w:pPr>
        <w:pStyle w:val="MediumGrid21"/>
        <w:ind w:left="1080"/>
        <w:jc w:val="both"/>
        <w:rPr>
          <w:rFonts w:ascii="Calibri" w:hAnsi="Calibri"/>
          <w:sz w:val="24"/>
          <w:szCs w:val="24"/>
        </w:rPr>
      </w:pPr>
    </w:p>
    <w:p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funds</w:t>
      </w:r>
      <w:r w:rsidRPr="004748A1">
        <w:rPr>
          <w:rFonts w:ascii="Calibri" w:hAnsi="Calibri"/>
          <w:sz w:val="24"/>
          <w:szCs w:val="24"/>
        </w:rPr>
        <w:t xml:space="preserve"> are Federal grants, MBTA revenue bonds, State bonds, or other State assistance or revenue designated to pay for or reimburse the MBTA for capital expenses, including the Capital Maintenance Fund “Lockbox”.  </w:t>
      </w:r>
    </w:p>
    <w:p w:rsidR="004748A1" w:rsidRPr="004748A1" w:rsidRDefault="004748A1" w:rsidP="004748A1">
      <w:pPr>
        <w:pStyle w:val="MediumGrid21"/>
        <w:ind w:left="1080"/>
        <w:jc w:val="both"/>
        <w:rPr>
          <w:rFonts w:ascii="Calibri" w:hAnsi="Calibri"/>
          <w:sz w:val="24"/>
          <w:szCs w:val="24"/>
        </w:rPr>
      </w:pPr>
    </w:p>
    <w:p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expenses</w:t>
      </w:r>
      <w:r w:rsidRPr="004748A1">
        <w:rPr>
          <w:rFonts w:ascii="Calibri" w:hAnsi="Calibri"/>
          <w:sz w:val="24"/>
          <w:szCs w:val="24"/>
        </w:rPr>
        <w:t xml:space="preserve"> are costs incurred during a capital project, including professional services, construction, materials, labor costs, related fringe benefits, and an allocated share of general and administrative costs. </w:t>
      </w:r>
    </w:p>
    <w:p w:rsidR="004748A1" w:rsidRPr="004748A1" w:rsidRDefault="004748A1" w:rsidP="004748A1">
      <w:pPr>
        <w:pStyle w:val="MediumGrid21"/>
        <w:ind w:left="1080"/>
        <w:jc w:val="both"/>
        <w:rPr>
          <w:rFonts w:ascii="Calibri" w:hAnsi="Calibri"/>
          <w:sz w:val="24"/>
          <w:szCs w:val="24"/>
        </w:rPr>
      </w:pPr>
    </w:p>
    <w:p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projects</w:t>
      </w:r>
      <w:r w:rsidRPr="004748A1">
        <w:rPr>
          <w:rFonts w:ascii="Calibri" w:hAnsi="Calibri"/>
          <w:sz w:val="24"/>
          <w:szCs w:val="24"/>
        </w:rPr>
        <w:t xml:space="preserve"> are investments or activities related to acquiring, constructing, or improving a capital asset. Capital funds are programmed to specific capital projects in the CIP or approved for lockbox funding by the Pay-Go Committee.  Therefore, in order for an expense to be eligible for capital funds, it must be associated with an approved capital project.</w:t>
      </w:r>
    </w:p>
    <w:p w:rsidR="004748A1" w:rsidRPr="004748A1" w:rsidRDefault="004748A1" w:rsidP="004748A1">
      <w:pPr>
        <w:pStyle w:val="MediumGrid21"/>
        <w:ind w:left="1080"/>
        <w:jc w:val="both"/>
        <w:rPr>
          <w:rFonts w:ascii="Calibri" w:hAnsi="Calibri"/>
          <w:sz w:val="24"/>
          <w:szCs w:val="24"/>
        </w:rPr>
      </w:pPr>
    </w:p>
    <w:p w:rsidR="008B3612" w:rsidRDefault="004748A1" w:rsidP="004748A1">
      <w:pPr>
        <w:pStyle w:val="MediumGrid21"/>
        <w:numPr>
          <w:ilvl w:val="0"/>
          <w:numId w:val="6"/>
        </w:numPr>
        <w:jc w:val="both"/>
        <w:rPr>
          <w:rFonts w:ascii="Calibri" w:hAnsi="Calibri"/>
          <w:b/>
          <w:sz w:val="24"/>
          <w:szCs w:val="24"/>
        </w:rPr>
      </w:pPr>
      <w:r w:rsidRPr="004748A1">
        <w:rPr>
          <w:rFonts w:ascii="Calibri" w:hAnsi="Calibri"/>
          <w:sz w:val="24"/>
          <w:szCs w:val="24"/>
          <w:u w:val="single"/>
        </w:rPr>
        <w:t>Capital assets</w:t>
      </w:r>
      <w:r w:rsidRPr="004748A1">
        <w:rPr>
          <w:rFonts w:ascii="Calibri" w:hAnsi="Calibri"/>
          <w:sz w:val="24"/>
          <w:szCs w:val="24"/>
        </w:rPr>
        <w:t xml:space="preserve"> are vehicles, facilities, units of equipment, or elements of infrastructure with a useful life of more than one year and an acquisition cost that is equal or greater than $5,000.  </w:t>
      </w:r>
    </w:p>
    <w:p w:rsidR="008B3612" w:rsidRDefault="008B3612" w:rsidP="003834B4">
      <w:pPr>
        <w:pStyle w:val="MediumGrid21"/>
        <w:jc w:val="both"/>
        <w:rPr>
          <w:rFonts w:ascii="Calibri" w:hAnsi="Calibri"/>
          <w:b/>
          <w:sz w:val="24"/>
          <w:szCs w:val="24"/>
        </w:rPr>
      </w:pPr>
    </w:p>
    <w:p w:rsidR="008B3612" w:rsidRDefault="008B3612" w:rsidP="003834B4">
      <w:pPr>
        <w:pStyle w:val="MediumGrid21"/>
        <w:jc w:val="both"/>
        <w:rPr>
          <w:rFonts w:ascii="Calibri" w:hAnsi="Calibri"/>
          <w:b/>
          <w:sz w:val="24"/>
          <w:szCs w:val="24"/>
        </w:rPr>
      </w:pPr>
    </w:p>
    <w:p w:rsidR="008B3612" w:rsidRDefault="008B3612" w:rsidP="003834B4">
      <w:pPr>
        <w:pStyle w:val="MediumGrid21"/>
        <w:jc w:val="both"/>
        <w:rPr>
          <w:rFonts w:ascii="Calibri" w:hAnsi="Calibri"/>
          <w:b/>
          <w:sz w:val="24"/>
          <w:szCs w:val="24"/>
        </w:rPr>
      </w:pPr>
    </w:p>
    <w:p w:rsidR="008B3612" w:rsidRDefault="008B3612" w:rsidP="003834B4">
      <w:pPr>
        <w:pStyle w:val="MediumGrid21"/>
        <w:jc w:val="both"/>
        <w:rPr>
          <w:rFonts w:ascii="Calibri" w:hAnsi="Calibri"/>
          <w:b/>
          <w:sz w:val="24"/>
          <w:szCs w:val="24"/>
        </w:rPr>
      </w:pPr>
    </w:p>
    <w:p w:rsidR="00501379" w:rsidRPr="000D3CE9" w:rsidRDefault="000D3CE9" w:rsidP="000D3CE9">
      <w:pPr>
        <w:pStyle w:val="Heading2"/>
      </w:pPr>
      <w:r>
        <w:t xml:space="preserve">III. </w:t>
      </w:r>
      <w:r w:rsidR="004748A1">
        <w:t>Eligible Uses of Capital Funds</w:t>
      </w:r>
    </w:p>
    <w:p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 xml:space="preserve">The following is general guidance for determining whether certain categories of activities and expenses may be appropriate for a capital project. </w:t>
      </w:r>
    </w:p>
    <w:p w:rsidR="004748A1" w:rsidRPr="004748A1" w:rsidRDefault="004748A1" w:rsidP="004748A1">
      <w:pPr>
        <w:pStyle w:val="MediumGrid21"/>
        <w:jc w:val="both"/>
        <w:rPr>
          <w:rFonts w:ascii="Calibri" w:hAnsi="Calibri"/>
          <w:sz w:val="24"/>
          <w:szCs w:val="24"/>
        </w:rPr>
      </w:pPr>
    </w:p>
    <w:p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Acquisition of equipment/assets</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associated with the acquisition of equipment or assets with a useful life of more than one year and a unit cost equal or greater than $5,000 are eligible capital expenses</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associated with equipment or assets with a useful life of less than one year and/or a unit cost less than $5,000 may be eligible capital expenses on a case-by-case basis</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Generally, if equipment with a unit cost less than $5,000 is part of a larger program of capital renovation, renewal, or rebuilding, the acquisition and related costs of the equipment may be an eligible capital expense</w:t>
      </w:r>
    </w:p>
    <w:p w:rsid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new subway cars;  new signal equipment (if part of larger program)</w:t>
      </w:r>
    </w:p>
    <w:p w:rsidR="004748A1" w:rsidRPr="004748A1" w:rsidRDefault="004748A1" w:rsidP="004748A1">
      <w:pPr>
        <w:pStyle w:val="MediumGrid21"/>
        <w:jc w:val="both"/>
        <w:rPr>
          <w:rFonts w:ascii="Calibri" w:hAnsi="Calibri"/>
          <w:sz w:val="24"/>
          <w:szCs w:val="24"/>
        </w:rPr>
      </w:pPr>
    </w:p>
    <w:p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Renovations, renewals, or rebuilding of assets</w:t>
      </w:r>
    </w:p>
    <w:p w:rsidR="004748A1" w:rsidRPr="004748A1" w:rsidRDefault="004748A1" w:rsidP="00122FDB">
      <w:pPr>
        <w:pStyle w:val="MediumGrid21"/>
        <w:numPr>
          <w:ilvl w:val="1"/>
          <w:numId w:val="8"/>
        </w:numPr>
        <w:ind w:left="1530" w:hanging="360"/>
        <w:jc w:val="both"/>
        <w:rPr>
          <w:rFonts w:ascii="Calibri" w:hAnsi="Calibri"/>
          <w:sz w:val="24"/>
          <w:szCs w:val="24"/>
        </w:rPr>
      </w:pPr>
      <w:r w:rsidRPr="004748A1">
        <w:rPr>
          <w:rFonts w:ascii="Calibri" w:hAnsi="Calibri"/>
          <w:sz w:val="24"/>
          <w:szCs w:val="24"/>
        </w:rPr>
        <w:t xml:space="preserve">Costs associated with activities that extend the useful life of a capital asset through a program of renovation, renewal, or rebuilding are eligible capital expenses </w:t>
      </w:r>
    </w:p>
    <w:p w:rsidR="004748A1" w:rsidRDefault="004748A1" w:rsidP="00122FDB">
      <w:pPr>
        <w:pStyle w:val="MediumGrid21"/>
        <w:numPr>
          <w:ilvl w:val="1"/>
          <w:numId w:val="8"/>
        </w:numPr>
        <w:ind w:left="1530" w:hanging="360"/>
        <w:jc w:val="both"/>
        <w:rPr>
          <w:rFonts w:ascii="Calibri" w:hAnsi="Calibri"/>
          <w:sz w:val="24"/>
          <w:szCs w:val="24"/>
        </w:rPr>
      </w:pPr>
      <w:r w:rsidRPr="004748A1">
        <w:rPr>
          <w:rFonts w:ascii="Calibri" w:hAnsi="Calibri"/>
          <w:sz w:val="24"/>
          <w:szCs w:val="24"/>
        </w:rPr>
        <w:t>Examples of eligible capital expenses: mid-life vehicle overhauls; locomotive engine rebuilding; station renovation</w:t>
      </w:r>
    </w:p>
    <w:p w:rsidR="004748A1" w:rsidRPr="004748A1" w:rsidRDefault="004748A1" w:rsidP="004748A1">
      <w:pPr>
        <w:pStyle w:val="MediumGrid21"/>
        <w:jc w:val="both"/>
        <w:rPr>
          <w:rFonts w:ascii="Calibri" w:hAnsi="Calibri"/>
          <w:sz w:val="24"/>
          <w:szCs w:val="24"/>
        </w:rPr>
      </w:pPr>
    </w:p>
    <w:p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 xml:space="preserve">Improvements to assets </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associated with activities that add to or enhance the value of an asset are eligible capital expenses </w:t>
      </w:r>
    </w:p>
    <w:p w:rsid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Examples of eligible capital expenses: installation of new station elevator; new vehicle HVAC systems  </w:t>
      </w:r>
    </w:p>
    <w:p w:rsidR="004748A1" w:rsidRPr="004748A1" w:rsidRDefault="004748A1" w:rsidP="004748A1">
      <w:pPr>
        <w:pStyle w:val="MediumGrid21"/>
        <w:jc w:val="both"/>
        <w:rPr>
          <w:rFonts w:ascii="Calibri" w:hAnsi="Calibri"/>
          <w:sz w:val="24"/>
          <w:szCs w:val="24"/>
        </w:rPr>
      </w:pPr>
    </w:p>
    <w:p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 xml:space="preserve">Repair and maintenance </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associated with general repair or preventative or routine maintenance activities prescribed by an manufacturer or other authority to allow a capital asset to reach its useful life are generally </w:t>
      </w:r>
      <w:r w:rsidRPr="004748A1">
        <w:rPr>
          <w:rFonts w:ascii="Calibri" w:hAnsi="Calibri"/>
          <w:b/>
          <w:sz w:val="24"/>
          <w:szCs w:val="24"/>
        </w:rPr>
        <w:t>not</w:t>
      </w:r>
      <w:r w:rsidRPr="004748A1">
        <w:rPr>
          <w:rFonts w:ascii="Calibri" w:hAnsi="Calibri"/>
          <w:sz w:val="24"/>
          <w:szCs w:val="24"/>
        </w:rPr>
        <w:t xml:space="preserve"> eligible capital expenses </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for repair or maintenance activities that extend the useful life of a capital asset are generally eligible capital expenses </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for repair or maintenance activities that do not extend the useful life of an asset but are not routine may be eligible for capital funding on a case-by-case basis</w:t>
      </w:r>
    </w:p>
    <w:p w:rsidR="00122FDB"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vehicle component replacement; repairs to assets beyond useful life; repairs to damaged vehicles or infrastructure</w:t>
      </w:r>
    </w:p>
    <w:p w:rsidR="00122FDB" w:rsidRPr="00122FDB" w:rsidRDefault="00122FDB" w:rsidP="00122FDB">
      <w:pPr>
        <w:pStyle w:val="MediumGrid21"/>
        <w:jc w:val="both"/>
        <w:rPr>
          <w:rFonts w:ascii="Calibri" w:hAnsi="Calibri"/>
          <w:sz w:val="24"/>
          <w:szCs w:val="24"/>
        </w:rPr>
      </w:pPr>
    </w:p>
    <w:p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Planning/design</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for planning or design activities that precede the acquisition, construction, or improvement to a capital asset are eligible capital expenses</w:t>
      </w:r>
    </w:p>
    <w:p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bridge design; facility condition assessment; development of vehicle specifications</w:t>
      </w:r>
    </w:p>
    <w:p w:rsidR="00501379" w:rsidRDefault="00501379" w:rsidP="003834B4">
      <w:pPr>
        <w:pStyle w:val="MediumGrid21"/>
        <w:jc w:val="both"/>
        <w:rPr>
          <w:rFonts w:ascii="Calibri" w:hAnsi="Calibri"/>
          <w:sz w:val="24"/>
          <w:szCs w:val="24"/>
        </w:rPr>
      </w:pPr>
    </w:p>
    <w:p w:rsidR="000D3CE9" w:rsidRDefault="000D3CE9" w:rsidP="000D3CE9">
      <w:pPr>
        <w:pStyle w:val="Heading2"/>
      </w:pPr>
      <w:r>
        <w:t>IV. Using Capital Funds for Payroll</w:t>
      </w:r>
    </w:p>
    <w:p w:rsidR="000D3CE9" w:rsidRPr="000D3CE9" w:rsidRDefault="000D3CE9" w:rsidP="000D3CE9">
      <w:pPr>
        <w:pStyle w:val="ListParagraph"/>
        <w:ind w:left="0"/>
        <w:rPr>
          <w:rFonts w:asciiTheme="minorHAnsi" w:hAnsiTheme="minorHAnsi"/>
          <w:sz w:val="24"/>
        </w:rPr>
      </w:pPr>
      <w:r w:rsidRPr="000D3CE9">
        <w:rPr>
          <w:rFonts w:asciiTheme="minorHAnsi" w:hAnsiTheme="minorHAnsi"/>
          <w:sz w:val="24"/>
        </w:rPr>
        <w:t>All MBTA payroll expenses (e.g. salaries, benefits, and overtime) shall be charged to the operating budget, with the following exceptions that are consistent with generally accepted accounting principles and Federal law, guidance, and reporting requirements:</w:t>
      </w:r>
    </w:p>
    <w:p w:rsidR="000D3CE9" w:rsidRPr="000D3CE9" w:rsidRDefault="000D3CE9" w:rsidP="000D3CE9">
      <w:pPr>
        <w:pStyle w:val="ListParagraph"/>
        <w:numPr>
          <w:ilvl w:val="1"/>
          <w:numId w:val="9"/>
        </w:numPr>
        <w:spacing w:after="0" w:line="240" w:lineRule="auto"/>
        <w:ind w:left="720"/>
        <w:rPr>
          <w:rFonts w:asciiTheme="minorHAnsi" w:hAnsiTheme="minorHAnsi"/>
          <w:i/>
          <w:sz w:val="24"/>
        </w:rPr>
      </w:pPr>
      <w:r w:rsidRPr="000D3CE9">
        <w:rPr>
          <w:rFonts w:asciiTheme="minorHAnsi" w:hAnsiTheme="minorHAnsi"/>
          <w:sz w:val="24"/>
        </w:rPr>
        <w:t xml:space="preserve">The salaries and benefits of full-time employees who work exclusively on developing and delivering capital projects may be allocated to capital projects as direct or indirect costs and paid through capital funding sources. </w:t>
      </w:r>
    </w:p>
    <w:p w:rsidR="000D3CE9" w:rsidRPr="000D3CE9" w:rsidRDefault="000D3CE9" w:rsidP="000D3CE9">
      <w:pPr>
        <w:pStyle w:val="ListParagraph"/>
        <w:numPr>
          <w:ilvl w:val="2"/>
          <w:numId w:val="10"/>
        </w:numPr>
        <w:spacing w:after="0" w:line="240" w:lineRule="auto"/>
        <w:ind w:left="1440" w:hanging="360"/>
        <w:rPr>
          <w:rFonts w:asciiTheme="minorHAnsi" w:hAnsiTheme="minorHAnsi"/>
          <w:sz w:val="24"/>
        </w:rPr>
      </w:pPr>
      <w:r w:rsidRPr="000D3CE9">
        <w:rPr>
          <w:rFonts w:asciiTheme="minorHAnsi" w:hAnsiTheme="minorHAnsi"/>
          <w:sz w:val="24"/>
        </w:rPr>
        <w:t xml:space="preserve">Per the MBTA Organizational Chart released on March 26, 2018, Departments with </w:t>
      </w:r>
      <w:r w:rsidRPr="000D3CE9">
        <w:rPr>
          <w:rFonts w:asciiTheme="minorHAnsi" w:hAnsiTheme="minorHAnsi"/>
          <w:b/>
          <w:sz w:val="24"/>
        </w:rPr>
        <w:t xml:space="preserve">all </w:t>
      </w:r>
      <w:r w:rsidRPr="000D3CE9">
        <w:rPr>
          <w:rFonts w:asciiTheme="minorHAnsi" w:hAnsiTheme="minorHAnsi"/>
          <w:sz w:val="24"/>
        </w:rPr>
        <w:t>employees working full-time on capital projects are:</w:t>
      </w:r>
    </w:p>
    <w:p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Capital Programs and Delivery (program development, project planning, design, construction, field inspection, logistics, finance and controls, and contract administration of capital construction projects)</w:t>
      </w:r>
    </w:p>
    <w:p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 xml:space="preserve">Chief Engineer (assessment and management of capital assets; technical requirements, review, and approval for new capital projects) </w:t>
      </w:r>
    </w:p>
    <w:p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Vehicle Engineering (development and delivery of new vehicle procurements and overhauls)</w:t>
      </w:r>
    </w:p>
    <w:p w:rsidR="000D3CE9" w:rsidRPr="000D3CE9" w:rsidRDefault="000D3CE9" w:rsidP="000D3CE9">
      <w:pPr>
        <w:pStyle w:val="ListParagraph"/>
        <w:numPr>
          <w:ilvl w:val="2"/>
          <w:numId w:val="10"/>
        </w:numPr>
        <w:spacing w:after="0" w:line="240" w:lineRule="auto"/>
        <w:ind w:left="1530" w:hanging="360"/>
        <w:rPr>
          <w:rFonts w:asciiTheme="minorHAnsi" w:hAnsiTheme="minorHAnsi"/>
          <w:sz w:val="24"/>
        </w:rPr>
      </w:pPr>
      <w:r w:rsidRPr="000D3CE9">
        <w:rPr>
          <w:rFonts w:asciiTheme="minorHAnsi" w:hAnsiTheme="minorHAnsi"/>
          <w:sz w:val="24"/>
        </w:rPr>
        <w:t xml:space="preserve">Per the MBTA Organizational Chart released on March 26, 2018, Departments with </w:t>
      </w:r>
      <w:r w:rsidRPr="000D3CE9">
        <w:rPr>
          <w:rFonts w:asciiTheme="minorHAnsi" w:hAnsiTheme="minorHAnsi"/>
          <w:b/>
          <w:sz w:val="24"/>
        </w:rPr>
        <w:t>some</w:t>
      </w:r>
      <w:r w:rsidRPr="000D3CE9">
        <w:rPr>
          <w:rFonts w:asciiTheme="minorHAnsi" w:hAnsiTheme="minorHAnsi"/>
          <w:sz w:val="24"/>
        </w:rPr>
        <w:t xml:space="preserve"> employees working full-time on capital projects are:</w:t>
      </w:r>
    </w:p>
    <w:p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Engineering and Maintenance (support to capital projects through Power, Signals, Maintenance of Way, and Transit Facilities Maintenance employees)</w:t>
      </w:r>
    </w:p>
    <w:p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 xml:space="preserve">Rail Maintenance (capital improvements to rail vehicles occurring within MBTA facilities)   </w:t>
      </w:r>
    </w:p>
    <w:p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 xml:space="preserve">Bus Maintenance (capital improvements to bus vehicles occurring within MBTA facilities) </w:t>
      </w:r>
    </w:p>
    <w:p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Bus Transportation (support to capital projects through bus diversions)</w:t>
      </w:r>
    </w:p>
    <w:p w:rsidR="000D3CE9" w:rsidRPr="000D3CE9" w:rsidRDefault="000D3CE9" w:rsidP="000D3CE9">
      <w:pPr>
        <w:spacing w:after="0" w:line="240" w:lineRule="auto"/>
        <w:rPr>
          <w:rFonts w:asciiTheme="minorHAnsi" w:hAnsiTheme="minorHAnsi"/>
          <w:i/>
          <w:sz w:val="24"/>
        </w:rPr>
      </w:pPr>
    </w:p>
    <w:p w:rsidR="000D3CE9" w:rsidRPr="000D3CE9" w:rsidRDefault="000D3CE9" w:rsidP="000D3CE9">
      <w:pPr>
        <w:pStyle w:val="ListParagraph"/>
        <w:numPr>
          <w:ilvl w:val="1"/>
          <w:numId w:val="9"/>
        </w:numPr>
        <w:spacing w:after="0" w:line="240" w:lineRule="auto"/>
        <w:ind w:left="720"/>
        <w:rPr>
          <w:rFonts w:asciiTheme="minorHAnsi" w:hAnsiTheme="minorHAnsi"/>
          <w:i/>
          <w:sz w:val="24"/>
        </w:rPr>
      </w:pPr>
      <w:r w:rsidRPr="000D3CE9">
        <w:rPr>
          <w:rFonts w:asciiTheme="minorHAnsi" w:hAnsiTheme="minorHAnsi"/>
          <w:sz w:val="24"/>
        </w:rPr>
        <w:t xml:space="preserve">Overtime incurred by employees in support of delivering capital projects may be included in a capital project’s budget as Force Account and paid through the same capital funding source or sources other than bond proceeds.  </w:t>
      </w:r>
    </w:p>
    <w:p w:rsidR="000D3CE9" w:rsidRPr="000D3CE9" w:rsidRDefault="000D3CE9" w:rsidP="000D3CE9">
      <w:pPr>
        <w:pStyle w:val="ListParagraph"/>
        <w:spacing w:after="0" w:line="240" w:lineRule="auto"/>
        <w:rPr>
          <w:rFonts w:asciiTheme="minorHAnsi" w:hAnsiTheme="minorHAnsi"/>
          <w:i/>
          <w:sz w:val="24"/>
        </w:rPr>
      </w:pPr>
    </w:p>
    <w:p w:rsidR="000D3CE9" w:rsidRPr="000D3CE9" w:rsidRDefault="000D3CE9" w:rsidP="000D3CE9">
      <w:pPr>
        <w:pStyle w:val="ListParagraph"/>
        <w:numPr>
          <w:ilvl w:val="1"/>
          <w:numId w:val="9"/>
        </w:numPr>
        <w:spacing w:after="0" w:line="240" w:lineRule="auto"/>
        <w:ind w:left="720"/>
        <w:rPr>
          <w:rFonts w:asciiTheme="minorHAnsi" w:hAnsiTheme="minorHAnsi"/>
          <w:sz w:val="24"/>
        </w:rPr>
      </w:pPr>
      <w:r w:rsidRPr="000D3CE9">
        <w:rPr>
          <w:rFonts w:asciiTheme="minorHAnsi" w:hAnsiTheme="minorHAnsi"/>
          <w:sz w:val="24"/>
        </w:rPr>
        <w:t xml:space="preserve">Exceptions to this policy may only be made with the approval of the Chief Financial Officer. </w:t>
      </w:r>
    </w:p>
    <w:p w:rsidR="000D3CE9" w:rsidRDefault="000D3CE9" w:rsidP="000D3CE9">
      <w:pPr>
        <w:rPr>
          <w:i/>
        </w:rPr>
      </w:pPr>
    </w:p>
    <w:p w:rsidR="00501379" w:rsidRDefault="00122FDB" w:rsidP="00122FDB">
      <w:pPr>
        <w:pStyle w:val="Heading2"/>
      </w:pPr>
      <w:r>
        <w:lastRenderedPageBreak/>
        <w:t>V. U</w:t>
      </w:r>
      <w:r w:rsidRPr="00122FDB">
        <w:t>se of Bond Proceeds for Employee Salaries</w:t>
      </w:r>
    </w:p>
    <w:p w:rsidR="00122FDB" w:rsidRPr="00122FDB" w:rsidRDefault="00122FDB" w:rsidP="00122FDB">
      <w:pPr>
        <w:pStyle w:val="MediumGrid21"/>
        <w:jc w:val="both"/>
        <w:rPr>
          <w:rFonts w:ascii="Calibri" w:hAnsi="Calibri"/>
          <w:sz w:val="24"/>
          <w:szCs w:val="24"/>
        </w:rPr>
      </w:pPr>
      <w:r w:rsidRPr="00122FDB">
        <w:rPr>
          <w:rFonts w:ascii="Calibri" w:hAnsi="Calibri"/>
          <w:sz w:val="24"/>
          <w:szCs w:val="24"/>
        </w:rPr>
        <w:t>Bond proceeds may not be used to pay MBTA employee salaries, except when MBTA or Commonwealth Bonds are raised to support specific standalone expansion projects (e.g. Green Line Extension or South Coast Rail) or public-private partnerships (e.g. AFC 2.0).</w:t>
      </w:r>
    </w:p>
    <w:p w:rsidR="00122FDB" w:rsidRPr="00122FDB" w:rsidRDefault="00122FDB" w:rsidP="00122FDB">
      <w:pPr>
        <w:pStyle w:val="MediumGrid21"/>
        <w:jc w:val="both"/>
        <w:rPr>
          <w:rFonts w:ascii="Calibri" w:hAnsi="Calibri"/>
          <w:sz w:val="24"/>
          <w:szCs w:val="24"/>
        </w:rPr>
      </w:pPr>
    </w:p>
    <w:p w:rsidR="00122FDB" w:rsidRDefault="00122FDB" w:rsidP="00122FDB">
      <w:pPr>
        <w:pStyle w:val="MediumGrid21"/>
        <w:jc w:val="both"/>
        <w:rPr>
          <w:rFonts w:ascii="Calibri" w:hAnsi="Calibri"/>
          <w:sz w:val="24"/>
          <w:szCs w:val="24"/>
        </w:rPr>
      </w:pPr>
      <w:r w:rsidRPr="00122FDB">
        <w:rPr>
          <w:rFonts w:ascii="Calibri" w:hAnsi="Calibri"/>
          <w:sz w:val="24"/>
          <w:szCs w:val="24"/>
        </w:rPr>
        <w:t>The use of MBTA or Commonwealth Bonds for standalone expansion or public-private partnership projects will be require authorization by both the Fiscal and Management Control Board and the Executive Office of Administration and Finance.</w:t>
      </w:r>
    </w:p>
    <w:p w:rsidR="00122FDB" w:rsidRDefault="00122FDB" w:rsidP="00122FDB">
      <w:pPr>
        <w:pStyle w:val="MediumGrid21"/>
        <w:jc w:val="both"/>
        <w:rPr>
          <w:rFonts w:ascii="Calibri" w:hAnsi="Calibri"/>
          <w:sz w:val="24"/>
          <w:szCs w:val="24"/>
        </w:rPr>
      </w:pPr>
    </w:p>
    <w:p w:rsidR="00122FDB" w:rsidRDefault="00122FDB" w:rsidP="00122FDB">
      <w:pPr>
        <w:pStyle w:val="Heading2"/>
      </w:pPr>
      <w:r>
        <w:t>VI. Direct and Indirect Costs</w:t>
      </w:r>
    </w:p>
    <w:p w:rsidR="00122FDB" w:rsidRPr="00122FDB" w:rsidRDefault="00122FDB" w:rsidP="00122FDB">
      <w:pPr>
        <w:rPr>
          <w:rFonts w:asciiTheme="minorHAnsi" w:hAnsiTheme="minorHAnsi"/>
          <w:sz w:val="24"/>
        </w:rPr>
      </w:pPr>
      <w:r w:rsidRPr="00122FDB">
        <w:rPr>
          <w:rFonts w:asciiTheme="minorHAnsi" w:hAnsiTheme="minorHAnsi"/>
          <w:sz w:val="24"/>
        </w:rPr>
        <w:t>Employee salaries and benefits paid from capital funding sources shall be allocated to specific capital projects. Charges will be applied as either direct or indirect costs in accordance with federal guidelines and in accordance with the MBTA’s Cost Allocation Plan, generally defined as:</w:t>
      </w:r>
    </w:p>
    <w:p w:rsidR="00122FDB" w:rsidRDefault="00122FDB" w:rsidP="00122FDB">
      <w:pPr>
        <w:pStyle w:val="ListParagraph"/>
        <w:numPr>
          <w:ilvl w:val="0"/>
          <w:numId w:val="12"/>
        </w:numPr>
        <w:spacing w:after="0" w:line="240" w:lineRule="auto"/>
        <w:ind w:left="720" w:hanging="360"/>
        <w:rPr>
          <w:rFonts w:asciiTheme="minorHAnsi" w:hAnsiTheme="minorHAnsi"/>
          <w:sz w:val="24"/>
        </w:rPr>
      </w:pPr>
      <w:r w:rsidRPr="00122FDB">
        <w:rPr>
          <w:rFonts w:asciiTheme="minorHAnsi" w:hAnsiTheme="minorHAnsi"/>
          <w:sz w:val="24"/>
        </w:rPr>
        <w:t>Direct Costs</w:t>
      </w:r>
    </w:p>
    <w:p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Can be identified specifically with a particular grant, award, project, contract or other cost object and can be charged on an item-by-item basis.</w:t>
      </w:r>
    </w:p>
    <w:p w:rsidR="00122FDB" w:rsidRPr="00122FDB" w:rsidRDefault="00122FDB" w:rsidP="00122FDB">
      <w:pPr>
        <w:spacing w:after="0" w:line="240" w:lineRule="auto"/>
        <w:rPr>
          <w:rFonts w:asciiTheme="minorHAnsi" w:hAnsiTheme="minorHAnsi"/>
          <w:sz w:val="24"/>
        </w:rPr>
      </w:pPr>
    </w:p>
    <w:p w:rsidR="00122FDB" w:rsidRDefault="00122FDB" w:rsidP="00122FDB">
      <w:pPr>
        <w:pStyle w:val="ListParagraph"/>
        <w:numPr>
          <w:ilvl w:val="0"/>
          <w:numId w:val="12"/>
        </w:numPr>
        <w:spacing w:after="0" w:line="240" w:lineRule="auto"/>
        <w:ind w:left="720" w:hanging="360"/>
        <w:rPr>
          <w:rFonts w:asciiTheme="minorHAnsi" w:hAnsiTheme="minorHAnsi"/>
          <w:sz w:val="24"/>
        </w:rPr>
      </w:pPr>
      <w:r w:rsidRPr="00122FDB">
        <w:rPr>
          <w:rFonts w:asciiTheme="minorHAnsi" w:hAnsiTheme="minorHAnsi"/>
          <w:sz w:val="24"/>
        </w:rPr>
        <w:t>Indirect Costs</w:t>
      </w:r>
    </w:p>
    <w:p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Costs that have been incurred for common objectives but cannot be readily identified with a particular grant.</w:t>
      </w:r>
    </w:p>
    <w:p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Direct costs of minor amounts may be treated as indirect.</w:t>
      </w:r>
    </w:p>
    <w:p w:rsidR="00122FDB" w:rsidRDefault="00122FDB" w:rsidP="00122FDB">
      <w:pPr>
        <w:spacing w:after="0" w:line="240" w:lineRule="auto"/>
        <w:rPr>
          <w:rFonts w:asciiTheme="minorHAnsi" w:hAnsiTheme="minorHAnsi"/>
          <w:sz w:val="24"/>
        </w:rPr>
      </w:pPr>
    </w:p>
    <w:p w:rsidR="00122FDB" w:rsidRDefault="00122FDB" w:rsidP="00122FDB">
      <w:pPr>
        <w:pStyle w:val="Heading2"/>
      </w:pPr>
      <w:r>
        <w:t>VII. Implementation</w:t>
      </w:r>
    </w:p>
    <w:p w:rsidR="00122FDB" w:rsidRPr="00122FDB" w:rsidRDefault="00122FDB" w:rsidP="00122FDB">
      <w:pPr>
        <w:pStyle w:val="ListParagraph"/>
        <w:numPr>
          <w:ilvl w:val="0"/>
          <w:numId w:val="14"/>
        </w:numPr>
        <w:ind w:left="720" w:hanging="360"/>
        <w:rPr>
          <w:rFonts w:asciiTheme="minorHAnsi" w:hAnsiTheme="minorHAnsi"/>
          <w:sz w:val="24"/>
        </w:rPr>
      </w:pPr>
      <w:r w:rsidRPr="00122FDB">
        <w:rPr>
          <w:rFonts w:asciiTheme="minorHAnsi" w:hAnsiTheme="minorHAnsi"/>
          <w:sz w:val="24"/>
        </w:rPr>
        <w:t>No later than 90 days after this policy is approved, the CFO  will distribute detailed implementation guidance, including standard operating procedures for capital planning, programming, budgeting, and execution, to include timekeeping, accounting, and internal controls.</w:t>
      </w:r>
    </w:p>
    <w:p w:rsidR="00122FDB" w:rsidRPr="00122FDB" w:rsidRDefault="00122FDB" w:rsidP="00122FDB">
      <w:pPr>
        <w:pStyle w:val="ListParagraph"/>
        <w:numPr>
          <w:ilvl w:val="0"/>
          <w:numId w:val="14"/>
        </w:numPr>
        <w:ind w:left="720" w:hanging="360"/>
        <w:rPr>
          <w:rFonts w:asciiTheme="minorHAnsi" w:hAnsiTheme="minorHAnsi"/>
          <w:sz w:val="24"/>
        </w:rPr>
      </w:pPr>
      <w:r w:rsidRPr="00122FDB">
        <w:rPr>
          <w:rFonts w:asciiTheme="minorHAnsi" w:hAnsiTheme="minorHAnsi"/>
          <w:sz w:val="24"/>
        </w:rPr>
        <w:t>On an annual basis, the CFO shall conduct a third party review to ensure compliance with this policy and the associated implementation guidance and standard operating procedures.</w:t>
      </w:r>
    </w:p>
    <w:sectPr w:rsidR="00122FDB" w:rsidRPr="00122FDB" w:rsidSect="000B215E">
      <w:headerReference w:type="default" r:id="rId9"/>
      <w:footerReference w:type="default" r:id="rId10"/>
      <w:headerReference w:type="first" r:id="rId11"/>
      <w:footerReference w:type="first" r:id="rId12"/>
      <w:pgSz w:w="12240" w:h="15840" w:code="1"/>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D6" w:rsidRDefault="000A25D6" w:rsidP="004C2179">
      <w:pPr>
        <w:spacing w:after="0" w:line="240" w:lineRule="auto"/>
      </w:pPr>
      <w:r>
        <w:separator/>
      </w:r>
    </w:p>
    <w:p w:rsidR="000A25D6" w:rsidRDefault="000A25D6"/>
    <w:p w:rsidR="000A25D6" w:rsidRDefault="000A25D6" w:rsidP="00122FDB"/>
  </w:endnote>
  <w:endnote w:type="continuationSeparator" w:id="0">
    <w:p w:rsidR="000A25D6" w:rsidRDefault="000A25D6" w:rsidP="004C2179">
      <w:pPr>
        <w:spacing w:after="0" w:line="240" w:lineRule="auto"/>
      </w:pPr>
      <w:r>
        <w:continuationSeparator/>
      </w:r>
    </w:p>
    <w:p w:rsidR="000A25D6" w:rsidRDefault="000A25D6"/>
    <w:p w:rsidR="000A25D6" w:rsidRDefault="000A25D6" w:rsidP="0012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43" w:rsidRPr="00122FDB" w:rsidRDefault="005C0243" w:rsidP="00122FDB">
    <w:pPr>
      <w:pStyle w:val="Footer"/>
      <w:jc w:val="right"/>
      <w:rPr>
        <w:rFonts w:ascii="Calibri" w:hAnsi="Calibri"/>
        <w:sz w:val="20"/>
        <w:szCs w:val="20"/>
      </w:rPr>
    </w:pPr>
    <w:r w:rsidRPr="005C0243">
      <w:rPr>
        <w:rFonts w:ascii="Calibri" w:hAnsi="Calibri"/>
        <w:sz w:val="20"/>
        <w:szCs w:val="20"/>
      </w:rPr>
      <w:t xml:space="preserve">Page </w:t>
    </w:r>
    <w:r w:rsidRPr="005C0243">
      <w:rPr>
        <w:rFonts w:ascii="Calibri" w:hAnsi="Calibri"/>
        <w:sz w:val="20"/>
        <w:szCs w:val="20"/>
      </w:rPr>
      <w:fldChar w:fldCharType="begin"/>
    </w:r>
    <w:r w:rsidRPr="005C0243">
      <w:rPr>
        <w:rFonts w:ascii="Calibri" w:hAnsi="Calibri"/>
        <w:sz w:val="20"/>
        <w:szCs w:val="20"/>
      </w:rPr>
      <w:instrText xml:space="preserve"> PAGE   \* MERGEFORMAT </w:instrText>
    </w:r>
    <w:r w:rsidRPr="005C0243">
      <w:rPr>
        <w:rFonts w:ascii="Calibri" w:hAnsi="Calibri"/>
        <w:sz w:val="20"/>
        <w:szCs w:val="20"/>
      </w:rPr>
      <w:fldChar w:fldCharType="separate"/>
    </w:r>
    <w:r w:rsidR="00EE7782">
      <w:rPr>
        <w:rFonts w:ascii="Calibri" w:hAnsi="Calibri"/>
        <w:noProof/>
        <w:sz w:val="20"/>
        <w:szCs w:val="20"/>
      </w:rPr>
      <w:t>5</w:t>
    </w:r>
    <w:r w:rsidRPr="005C0243">
      <w:rPr>
        <w:rFonts w:ascii="Calibri" w:hAnsi="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D3" w:rsidRDefault="000B215E">
    <w:pPr>
      <w:pStyle w:val="Footer"/>
    </w:pPr>
    <w:r>
      <w:rPr>
        <w:rFonts w:ascii="Eras Demi ITC" w:hAnsi="Eras Demi ITC"/>
        <w:noProof/>
        <w:sz w:val="18"/>
        <w:szCs w:val="18"/>
      </w:rPr>
      <mc:AlternateContent>
        <mc:Choice Requires="wps">
          <w:drawing>
            <wp:anchor distT="0" distB="0" distL="114300" distR="114300" simplePos="0" relativeHeight="251656704" behindDoc="1" locked="0" layoutInCell="1" allowOverlap="1" wp14:anchorId="38093B4E" wp14:editId="5534FAF9">
              <wp:simplePos x="0" y="0"/>
              <wp:positionH relativeFrom="page">
                <wp:posOffset>4216400</wp:posOffset>
              </wp:positionH>
              <wp:positionV relativeFrom="page">
                <wp:posOffset>9164822</wp:posOffset>
              </wp:positionV>
              <wp:extent cx="3194685" cy="647700"/>
              <wp:effectExtent l="0" t="0" r="571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CD3" w:rsidRPr="002B6E4F" w:rsidRDefault="00A56CD3" w:rsidP="004C2179">
                          <w:pPr>
                            <w:spacing w:after="0"/>
                            <w:jc w:val="right"/>
                            <w:rPr>
                              <w:color w:val="005295"/>
                              <w:sz w:val="18"/>
                              <w:szCs w:val="18"/>
                            </w:rPr>
                          </w:pPr>
                          <w:r w:rsidRPr="002B6E4F">
                            <w:rPr>
                              <w:color w:val="005295"/>
                              <w:sz w:val="18"/>
                              <w:szCs w:val="18"/>
                            </w:rPr>
                            <w:t xml:space="preserve">Ten Park Plaza, Suite </w:t>
                          </w:r>
                          <w:r>
                            <w:rPr>
                              <w:color w:val="005295"/>
                              <w:sz w:val="18"/>
                              <w:szCs w:val="18"/>
                            </w:rPr>
                            <w:t>4160</w:t>
                          </w:r>
                          <w:r w:rsidRPr="002B6E4F">
                            <w:rPr>
                              <w:color w:val="005295"/>
                              <w:sz w:val="18"/>
                              <w:szCs w:val="18"/>
                            </w:rPr>
                            <w:t>, Boston, MA 02116</w:t>
                          </w:r>
                        </w:p>
                        <w:p w:rsidR="00A56CD3" w:rsidRPr="002B6E4F" w:rsidRDefault="00A56CD3" w:rsidP="004C2179">
                          <w:pPr>
                            <w:spacing w:after="0"/>
                            <w:jc w:val="right"/>
                            <w:rPr>
                              <w:color w:val="005295"/>
                              <w:sz w:val="18"/>
                              <w:szCs w:val="18"/>
                            </w:rPr>
                          </w:pPr>
                          <w:r w:rsidRPr="002B6E4F">
                            <w:rPr>
                              <w:color w:val="005295"/>
                              <w:sz w:val="18"/>
                              <w:szCs w:val="18"/>
                            </w:rPr>
                            <w:t xml:space="preserve">Tel: </w:t>
                          </w:r>
                          <w:r>
                            <w:rPr>
                              <w:color w:val="005295"/>
                              <w:sz w:val="18"/>
                              <w:szCs w:val="18"/>
                            </w:rPr>
                            <w:t>857-368-4636</w:t>
                          </w:r>
                          <w:r w:rsidRPr="002B6E4F">
                            <w:rPr>
                              <w:color w:val="005295"/>
                              <w:sz w:val="18"/>
                              <w:szCs w:val="18"/>
                            </w:rPr>
                            <w:t>, T</w:t>
                          </w:r>
                          <w:r>
                            <w:rPr>
                              <w:color w:val="005295"/>
                              <w:sz w:val="18"/>
                              <w:szCs w:val="18"/>
                            </w:rPr>
                            <w:t>TY</w:t>
                          </w:r>
                          <w:r w:rsidRPr="002B6E4F">
                            <w:rPr>
                              <w:color w:val="005295"/>
                              <w:sz w:val="18"/>
                              <w:szCs w:val="18"/>
                            </w:rPr>
                            <w:t xml:space="preserve">: </w:t>
                          </w:r>
                          <w:r>
                            <w:rPr>
                              <w:color w:val="005295"/>
                              <w:sz w:val="18"/>
                              <w:szCs w:val="18"/>
                            </w:rPr>
                            <w:t>857-368-0655</w:t>
                          </w:r>
                        </w:p>
                        <w:p w:rsidR="00A56CD3" w:rsidRPr="002B6E4F" w:rsidRDefault="00A56CD3" w:rsidP="004C2179">
                          <w:pPr>
                            <w:spacing w:after="0"/>
                            <w:jc w:val="right"/>
                            <w:rPr>
                              <w:color w:val="005295"/>
                              <w:sz w:val="18"/>
                              <w:szCs w:val="18"/>
                            </w:rPr>
                          </w:pPr>
                          <w:r w:rsidRPr="002B6E4F">
                            <w:rPr>
                              <w:color w:val="005295"/>
                              <w:sz w:val="18"/>
                              <w:szCs w:val="18"/>
                            </w:rPr>
                            <w:t>www.mass.gov/massdot</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pt;margin-top:721.65pt;width:251.55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" filled="f" stroked="f">
              <v:textbox inset="0,0,0,0">
                <w:txbxContent>
                  <w:p w:rsidR="00A56CD3" w:rsidRPr="002B6E4F" w:rsidRDefault="00A56CD3" w:rsidP="004C2179">
                    <w:pPr>
                      <w:spacing w:after="0"/>
                      <w:jc w:val="right"/>
                      <w:rPr>
                        <w:color w:val="005295"/>
                        <w:sz w:val="18"/>
                        <w:szCs w:val="18"/>
                      </w:rPr>
                    </w:pPr>
                    <w:r w:rsidRPr="002B6E4F">
                      <w:rPr>
                        <w:color w:val="005295"/>
                        <w:sz w:val="18"/>
                        <w:szCs w:val="18"/>
                      </w:rPr>
                      <w:t xml:space="preserve">Ten Park Plaza, Suite </w:t>
                    </w:r>
                    <w:r>
                      <w:rPr>
                        <w:color w:val="005295"/>
                        <w:sz w:val="18"/>
                        <w:szCs w:val="18"/>
                      </w:rPr>
                      <w:t>4160</w:t>
                    </w:r>
                    <w:r w:rsidRPr="002B6E4F">
                      <w:rPr>
                        <w:color w:val="005295"/>
                        <w:sz w:val="18"/>
                        <w:szCs w:val="18"/>
                      </w:rPr>
                      <w:t>, Boston, MA 02116</w:t>
                    </w:r>
                  </w:p>
                  <w:p w:rsidR="00A56CD3" w:rsidRPr="002B6E4F" w:rsidRDefault="00A56CD3" w:rsidP="004C2179">
                    <w:pPr>
                      <w:spacing w:after="0"/>
                      <w:jc w:val="right"/>
                      <w:rPr>
                        <w:color w:val="005295"/>
                        <w:sz w:val="18"/>
                        <w:szCs w:val="18"/>
                      </w:rPr>
                    </w:pPr>
                    <w:r w:rsidRPr="002B6E4F">
                      <w:rPr>
                        <w:color w:val="005295"/>
                        <w:sz w:val="18"/>
                        <w:szCs w:val="18"/>
                      </w:rPr>
                      <w:t xml:space="preserve">Tel: </w:t>
                    </w:r>
                    <w:r>
                      <w:rPr>
                        <w:color w:val="005295"/>
                        <w:sz w:val="18"/>
                        <w:szCs w:val="18"/>
                      </w:rPr>
                      <w:t>857-368-4636</w:t>
                    </w:r>
                    <w:r w:rsidRPr="002B6E4F">
                      <w:rPr>
                        <w:color w:val="005295"/>
                        <w:sz w:val="18"/>
                        <w:szCs w:val="18"/>
                      </w:rPr>
                      <w:t>, T</w:t>
                    </w:r>
                    <w:r>
                      <w:rPr>
                        <w:color w:val="005295"/>
                        <w:sz w:val="18"/>
                        <w:szCs w:val="18"/>
                      </w:rPr>
                      <w:t>TY</w:t>
                    </w:r>
                    <w:r w:rsidRPr="002B6E4F">
                      <w:rPr>
                        <w:color w:val="005295"/>
                        <w:sz w:val="18"/>
                        <w:szCs w:val="18"/>
                      </w:rPr>
                      <w:t xml:space="preserve">: </w:t>
                    </w:r>
                    <w:r>
                      <w:rPr>
                        <w:color w:val="005295"/>
                        <w:sz w:val="18"/>
                        <w:szCs w:val="18"/>
                      </w:rPr>
                      <w:t>857-368-0655</w:t>
                    </w:r>
                  </w:p>
                  <w:p w:rsidR="00A56CD3" w:rsidRPr="002B6E4F" w:rsidRDefault="00A56CD3" w:rsidP="004C2179">
                    <w:pPr>
                      <w:spacing w:after="0"/>
                      <w:jc w:val="right"/>
                      <w:rPr>
                        <w:color w:val="005295"/>
                        <w:sz w:val="18"/>
                        <w:szCs w:val="18"/>
                      </w:rPr>
                    </w:pPr>
                    <w:r w:rsidRPr="002B6E4F">
                      <w:rPr>
                        <w:color w:val="005295"/>
                        <w:sz w:val="18"/>
                        <w:szCs w:val="18"/>
                      </w:rPr>
                      <w:t>www.mass.gov/massdot</w:t>
                    </w:r>
                  </w:p>
                </w:txbxContent>
              </v:textbox>
              <w10:wrap anchorx="page" anchory="page"/>
            </v:shape>
          </w:pict>
        </mc:Fallback>
      </mc:AlternateContent>
    </w:r>
    <w:r>
      <w:rPr>
        <w:rFonts w:ascii="Eras Demi ITC" w:hAnsi="Eras Demi ITC"/>
        <w:noProof/>
        <w:sz w:val="18"/>
        <w:szCs w:val="18"/>
      </w:rPr>
      <mc:AlternateContent>
        <mc:Choice Requires="wps">
          <w:drawing>
            <wp:anchor distT="0" distB="0" distL="114300" distR="114300" simplePos="0" relativeHeight="251657728" behindDoc="1" locked="0" layoutInCell="1" allowOverlap="1" wp14:anchorId="6C8D01EA" wp14:editId="788F5794">
              <wp:simplePos x="0" y="0"/>
              <wp:positionH relativeFrom="page">
                <wp:posOffset>418465</wp:posOffset>
              </wp:positionH>
              <wp:positionV relativeFrom="page">
                <wp:posOffset>9515475</wp:posOffset>
              </wp:positionV>
              <wp:extent cx="323913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CD3" w:rsidRPr="00961CCC" w:rsidRDefault="00A56CD3" w:rsidP="004C2179">
                          <w:pPr>
                            <w:spacing w:after="0"/>
                            <w:rPr>
                              <w:rFonts w:ascii="Eras Demi ITC" w:hAnsi="Eras Demi ITC"/>
                              <w:color w:val="005295"/>
                              <w:sz w:val="18"/>
                              <w:szCs w:val="18"/>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95pt;margin-top:749.25pt;width:255.05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" filled="f" stroked="f">
              <v:textbox inset="0,0,0,0">
                <w:txbxContent>
                  <w:p w:rsidR="00A56CD3" w:rsidRPr="00961CCC" w:rsidRDefault="00A56CD3" w:rsidP="004C2179">
                    <w:pPr>
                      <w:spacing w:after="0"/>
                      <w:rPr>
                        <w:rFonts w:ascii="Eras Demi ITC" w:hAnsi="Eras Demi ITC"/>
                        <w:color w:val="005295"/>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D6" w:rsidRDefault="000A25D6" w:rsidP="004C2179">
      <w:pPr>
        <w:spacing w:after="0" w:line="240" w:lineRule="auto"/>
      </w:pPr>
      <w:r>
        <w:separator/>
      </w:r>
    </w:p>
    <w:p w:rsidR="000A25D6" w:rsidRDefault="000A25D6"/>
    <w:p w:rsidR="000A25D6" w:rsidRDefault="000A25D6" w:rsidP="00122FDB"/>
  </w:footnote>
  <w:footnote w:type="continuationSeparator" w:id="0">
    <w:p w:rsidR="000A25D6" w:rsidRDefault="000A25D6" w:rsidP="004C2179">
      <w:pPr>
        <w:spacing w:after="0" w:line="240" w:lineRule="auto"/>
      </w:pPr>
      <w:r>
        <w:continuationSeparator/>
      </w:r>
    </w:p>
    <w:p w:rsidR="000A25D6" w:rsidRDefault="000A25D6"/>
    <w:p w:rsidR="000A25D6" w:rsidRDefault="000A25D6" w:rsidP="00122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D3" w:rsidRDefault="00EE7782">
    <w:pPr>
      <w:pStyle w:val="Header"/>
    </w:pPr>
    <w:r w:rsidRPr="00EE7782">
      <w:rPr>
        <w:color w:val="FF0000"/>
      </w:rPr>
      <w:t xml:space="preserve">DRAFT </w:t>
    </w:r>
    <w:r w:rsidR="000B215E">
      <w:t xml:space="preserve">MBTA </w:t>
    </w:r>
    <w:r w:rsidR="004748A1">
      <w:t xml:space="preserve">Capital Expense Policy </w:t>
    </w:r>
  </w:p>
  <w:p w:rsidR="00476959" w:rsidRDefault="00476959" w:rsidP="00122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09609"/>
      <w:docPartObj>
        <w:docPartGallery w:val="Watermarks"/>
        <w:docPartUnique/>
      </w:docPartObj>
    </w:sdtPr>
    <w:sdtContent>
      <w:p w:rsidR="00EE7782" w:rsidRDefault="00EE77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C71"/>
    <w:multiLevelType w:val="hybridMultilevel"/>
    <w:tmpl w:val="84B8E8FC"/>
    <w:lvl w:ilvl="0" w:tplc="D4F42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5392"/>
    <w:multiLevelType w:val="hybridMultilevel"/>
    <w:tmpl w:val="9076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A2C55"/>
    <w:multiLevelType w:val="hybridMultilevel"/>
    <w:tmpl w:val="3E801B52"/>
    <w:lvl w:ilvl="0" w:tplc="B3E8550E">
      <w:start w:val="1"/>
      <w:numFmt w:val="upperRoman"/>
      <w:lvlText w:val="%1."/>
      <w:lvlJc w:val="left"/>
      <w:pPr>
        <w:ind w:left="720" w:hanging="720"/>
      </w:pPr>
      <w:rPr>
        <w:rFonts w:hint="default"/>
        <w:u w:val="none"/>
      </w:rPr>
    </w:lvl>
    <w:lvl w:ilvl="1" w:tplc="C7F81B2A">
      <w:start w:val="1"/>
      <w:numFmt w:val="decimal"/>
      <w:lvlText w:val="%2."/>
      <w:lvlJc w:val="left"/>
      <w:pPr>
        <w:ind w:left="1080" w:hanging="360"/>
      </w:pPr>
      <w:rPr>
        <w:i w:val="0"/>
      </w:rPr>
    </w:lvl>
    <w:lvl w:ilvl="2" w:tplc="04090019">
      <w:start w:val="1"/>
      <w:numFmt w:val="lowerLetter"/>
      <w:lvlText w:val="%3."/>
      <w:lvlJc w:val="left"/>
      <w:pPr>
        <w:ind w:left="1800" w:hanging="180"/>
      </w:pPr>
    </w:lvl>
    <w:lvl w:ilvl="3" w:tplc="8C5E78A6">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F32FD"/>
    <w:multiLevelType w:val="hybridMultilevel"/>
    <w:tmpl w:val="7D9092C4"/>
    <w:lvl w:ilvl="0" w:tplc="B3E8550E">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0277B"/>
    <w:multiLevelType w:val="hybridMultilevel"/>
    <w:tmpl w:val="E0C47392"/>
    <w:lvl w:ilvl="0" w:tplc="260011F4">
      <w:start w:val="1"/>
      <w:numFmt w:val="decimal"/>
      <w:lvlText w:val="%1."/>
      <w:lvlJc w:val="left"/>
      <w:pPr>
        <w:ind w:left="1080" w:hanging="720"/>
      </w:pPr>
      <w:rPr>
        <w:rFonts w:hint="default"/>
      </w:rPr>
    </w:lvl>
    <w:lvl w:ilvl="1" w:tplc="3A3460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57C2C"/>
    <w:multiLevelType w:val="hybridMultilevel"/>
    <w:tmpl w:val="D5C43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9975AC"/>
    <w:multiLevelType w:val="hybridMultilevel"/>
    <w:tmpl w:val="9120098A"/>
    <w:lvl w:ilvl="0" w:tplc="B3E8550E">
      <w:start w:val="1"/>
      <w:numFmt w:val="upperRoman"/>
      <w:lvlText w:val="%1."/>
      <w:lvlJc w:val="left"/>
      <w:pPr>
        <w:ind w:left="720" w:hanging="720"/>
      </w:pPr>
      <w:rPr>
        <w:rFonts w:hint="default"/>
        <w:u w:val="none"/>
      </w:rPr>
    </w:lvl>
    <w:lvl w:ilvl="1" w:tplc="C7F81B2A">
      <w:start w:val="1"/>
      <w:numFmt w:val="decimal"/>
      <w:lvlText w:val="%2."/>
      <w:lvlJc w:val="left"/>
      <w:pPr>
        <w:ind w:left="1080" w:hanging="360"/>
      </w:pPr>
      <w:rPr>
        <w:i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01660E"/>
    <w:multiLevelType w:val="hybridMultilevel"/>
    <w:tmpl w:val="0354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C4FE5"/>
    <w:multiLevelType w:val="hybridMultilevel"/>
    <w:tmpl w:val="49467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D5B6E"/>
    <w:multiLevelType w:val="hybridMultilevel"/>
    <w:tmpl w:val="45E841FC"/>
    <w:lvl w:ilvl="0" w:tplc="E9308CB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F2403"/>
    <w:multiLevelType w:val="hybridMultilevel"/>
    <w:tmpl w:val="A16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344F5"/>
    <w:multiLevelType w:val="hybridMultilevel"/>
    <w:tmpl w:val="36F26872"/>
    <w:lvl w:ilvl="0" w:tplc="B3E8550E">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517E5"/>
    <w:multiLevelType w:val="hybridMultilevel"/>
    <w:tmpl w:val="260CFE1A"/>
    <w:lvl w:ilvl="0" w:tplc="A0A6AF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44CBC"/>
    <w:multiLevelType w:val="hybridMultilevel"/>
    <w:tmpl w:val="1FDC8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
  </w:num>
  <w:num w:numId="5">
    <w:abstractNumId w:val="10"/>
  </w:num>
  <w:num w:numId="6">
    <w:abstractNumId w:val="9"/>
  </w:num>
  <w:num w:numId="7">
    <w:abstractNumId w:val="7"/>
  </w:num>
  <w:num w:numId="8">
    <w:abstractNumId w:val="4"/>
  </w:num>
  <w:num w:numId="9">
    <w:abstractNumId w:val="6"/>
  </w:num>
  <w:num w:numId="10">
    <w:abstractNumId w:val="2"/>
  </w:num>
  <w:num w:numId="11">
    <w:abstractNumId w:val="11"/>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18"/>
    <w:rsid w:val="000A25D6"/>
    <w:rsid w:val="000B215E"/>
    <w:rsid w:val="000C5C7C"/>
    <w:rsid w:val="000D3CE9"/>
    <w:rsid w:val="00122FDB"/>
    <w:rsid w:val="001C036F"/>
    <w:rsid w:val="00217465"/>
    <w:rsid w:val="00230041"/>
    <w:rsid w:val="002629A3"/>
    <w:rsid w:val="002C0D27"/>
    <w:rsid w:val="003108D7"/>
    <w:rsid w:val="00321CC7"/>
    <w:rsid w:val="003834B4"/>
    <w:rsid w:val="003933FB"/>
    <w:rsid w:val="003D1BFE"/>
    <w:rsid w:val="003E5D60"/>
    <w:rsid w:val="003F1D61"/>
    <w:rsid w:val="00457F3B"/>
    <w:rsid w:val="004748A1"/>
    <w:rsid w:val="00476959"/>
    <w:rsid w:val="004A0EDA"/>
    <w:rsid w:val="004C2179"/>
    <w:rsid w:val="004C3371"/>
    <w:rsid w:val="00501379"/>
    <w:rsid w:val="00540FA2"/>
    <w:rsid w:val="005A5D00"/>
    <w:rsid w:val="005C0243"/>
    <w:rsid w:val="005E0539"/>
    <w:rsid w:val="00685237"/>
    <w:rsid w:val="0069454F"/>
    <w:rsid w:val="00742904"/>
    <w:rsid w:val="0077208A"/>
    <w:rsid w:val="007A3A0E"/>
    <w:rsid w:val="007E20F6"/>
    <w:rsid w:val="007E6A65"/>
    <w:rsid w:val="0081245A"/>
    <w:rsid w:val="008469BC"/>
    <w:rsid w:val="00850FB2"/>
    <w:rsid w:val="008B3612"/>
    <w:rsid w:val="00945D88"/>
    <w:rsid w:val="00950796"/>
    <w:rsid w:val="0095315F"/>
    <w:rsid w:val="00964C5E"/>
    <w:rsid w:val="009732A4"/>
    <w:rsid w:val="0098232A"/>
    <w:rsid w:val="00983590"/>
    <w:rsid w:val="0099786B"/>
    <w:rsid w:val="009B0592"/>
    <w:rsid w:val="009B74B8"/>
    <w:rsid w:val="009B7F02"/>
    <w:rsid w:val="009E3DF4"/>
    <w:rsid w:val="00A56CD3"/>
    <w:rsid w:val="00A80718"/>
    <w:rsid w:val="00AC3FAA"/>
    <w:rsid w:val="00AF2E27"/>
    <w:rsid w:val="00B158D5"/>
    <w:rsid w:val="00B35018"/>
    <w:rsid w:val="00B42083"/>
    <w:rsid w:val="00B6077E"/>
    <w:rsid w:val="00BA0C1C"/>
    <w:rsid w:val="00BB217C"/>
    <w:rsid w:val="00BC67B1"/>
    <w:rsid w:val="00C10B15"/>
    <w:rsid w:val="00C31F67"/>
    <w:rsid w:val="00C41B17"/>
    <w:rsid w:val="00C50B3E"/>
    <w:rsid w:val="00C54A99"/>
    <w:rsid w:val="00C5764F"/>
    <w:rsid w:val="00CF18C6"/>
    <w:rsid w:val="00D00CE2"/>
    <w:rsid w:val="00D04E3E"/>
    <w:rsid w:val="00D15675"/>
    <w:rsid w:val="00D44E08"/>
    <w:rsid w:val="00D5769A"/>
    <w:rsid w:val="00DD2501"/>
    <w:rsid w:val="00E35CD9"/>
    <w:rsid w:val="00E477F9"/>
    <w:rsid w:val="00E77D70"/>
    <w:rsid w:val="00EA6FFF"/>
    <w:rsid w:val="00EE7782"/>
    <w:rsid w:val="00F27AD3"/>
    <w:rsid w:val="00F54AFA"/>
    <w:rsid w:val="00F5718F"/>
    <w:rsid w:val="00F7276D"/>
    <w:rsid w:val="00FD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A1"/>
    <w:pPr>
      <w:spacing w:after="200" w:line="276" w:lineRule="auto"/>
    </w:pPr>
    <w:rPr>
      <w:rFonts w:ascii="Eras Medium ITC" w:hAnsi="Eras Medium ITC"/>
      <w:sz w:val="22"/>
      <w:szCs w:val="22"/>
    </w:rPr>
  </w:style>
  <w:style w:type="paragraph" w:styleId="Heading1">
    <w:name w:val="heading 1"/>
    <w:basedOn w:val="Normal"/>
    <w:next w:val="Normal"/>
    <w:link w:val="Heading1Char"/>
    <w:qFormat/>
    <w:rsid w:val="00501379"/>
    <w:pPr>
      <w:keepNext/>
      <w:pageBreakBefore/>
      <w:pBdr>
        <w:top w:val="single" w:sz="4" w:space="1" w:color="auto"/>
        <w:bottom w:val="single" w:sz="4" w:space="1" w:color="auto"/>
      </w:pBdr>
      <w:spacing w:before="240" w:after="240" w:line="240" w:lineRule="auto"/>
      <w:outlineLvl w:val="0"/>
    </w:pPr>
    <w:rPr>
      <w:rFonts w:ascii="Arial" w:eastAsia="Times New Roman" w:hAnsi="Arial" w:cs="Arial"/>
      <w:b/>
      <w:bCs/>
      <w:kern w:val="32"/>
      <w:sz w:val="44"/>
      <w:szCs w:val="32"/>
    </w:rPr>
  </w:style>
  <w:style w:type="paragraph" w:styleId="Heading2">
    <w:name w:val="heading 2"/>
    <w:basedOn w:val="MediumGrid21"/>
    <w:next w:val="Normal"/>
    <w:link w:val="Heading2Char"/>
    <w:uiPriority w:val="9"/>
    <w:qFormat/>
    <w:rsid w:val="004748A1"/>
    <w:pPr>
      <w:spacing w:before="240" w:after="120"/>
      <w:jc w:val="both"/>
      <w:outlineLvl w:val="1"/>
    </w:pPr>
    <w:rPr>
      <w:rFonts w:ascii="Calibri"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styleId="NoSpacing">
    <w:name w:val="No Spacing"/>
    <w:uiPriority w:val="1"/>
    <w:qFormat/>
    <w:rsid w:val="00F5718F"/>
    <w:rPr>
      <w:sz w:val="22"/>
      <w:szCs w:val="22"/>
    </w:rPr>
  </w:style>
  <w:style w:type="character" w:styleId="CommentReference">
    <w:name w:val="annotation reference"/>
    <w:uiPriority w:val="99"/>
    <w:semiHidden/>
    <w:unhideWhenUsed/>
    <w:rsid w:val="00BB217C"/>
    <w:rPr>
      <w:sz w:val="16"/>
      <w:szCs w:val="16"/>
    </w:rPr>
  </w:style>
  <w:style w:type="paragraph" w:styleId="CommentText">
    <w:name w:val="annotation text"/>
    <w:basedOn w:val="Normal"/>
    <w:link w:val="CommentTextChar"/>
    <w:uiPriority w:val="99"/>
    <w:semiHidden/>
    <w:unhideWhenUsed/>
    <w:rsid w:val="00BB217C"/>
    <w:rPr>
      <w:sz w:val="20"/>
      <w:szCs w:val="20"/>
    </w:rPr>
  </w:style>
  <w:style w:type="character" w:customStyle="1" w:styleId="CommentTextChar">
    <w:name w:val="Comment Text Char"/>
    <w:link w:val="CommentText"/>
    <w:uiPriority w:val="99"/>
    <w:semiHidden/>
    <w:rsid w:val="00BB217C"/>
    <w:rPr>
      <w:rFonts w:ascii="Eras Medium ITC" w:hAnsi="Eras Medium ITC"/>
    </w:rPr>
  </w:style>
  <w:style w:type="paragraph" w:styleId="CommentSubject">
    <w:name w:val="annotation subject"/>
    <w:basedOn w:val="CommentText"/>
    <w:next w:val="CommentText"/>
    <w:link w:val="CommentSubjectChar"/>
    <w:uiPriority w:val="99"/>
    <w:semiHidden/>
    <w:unhideWhenUsed/>
    <w:rsid w:val="00BB217C"/>
    <w:rPr>
      <w:b/>
      <w:bCs/>
    </w:rPr>
  </w:style>
  <w:style w:type="character" w:customStyle="1" w:styleId="CommentSubjectChar">
    <w:name w:val="Comment Subject Char"/>
    <w:link w:val="CommentSubject"/>
    <w:uiPriority w:val="99"/>
    <w:semiHidden/>
    <w:rsid w:val="00BB217C"/>
    <w:rPr>
      <w:rFonts w:ascii="Eras Medium ITC" w:hAnsi="Eras Medium ITC"/>
      <w:b/>
      <w:bCs/>
    </w:rPr>
  </w:style>
  <w:style w:type="character" w:styleId="Hyperlink">
    <w:name w:val="Hyperlink"/>
    <w:uiPriority w:val="99"/>
    <w:unhideWhenUsed/>
    <w:rsid w:val="00BC67B1"/>
    <w:rPr>
      <w:color w:val="0000FF"/>
      <w:u w:val="single"/>
    </w:rPr>
  </w:style>
  <w:style w:type="paragraph" w:customStyle="1" w:styleId="MediumGrid21">
    <w:name w:val="Medium Grid 21"/>
    <w:uiPriority w:val="1"/>
    <w:qFormat/>
    <w:rsid w:val="003834B4"/>
    <w:rPr>
      <w:rFonts w:ascii="Eras Medium ITC" w:hAnsi="Eras Medium ITC"/>
      <w:sz w:val="22"/>
      <w:szCs w:val="22"/>
    </w:rPr>
  </w:style>
  <w:style w:type="paragraph" w:styleId="FootnoteText">
    <w:name w:val="footnote text"/>
    <w:basedOn w:val="Normal"/>
    <w:link w:val="FootnoteTextChar"/>
    <w:uiPriority w:val="99"/>
    <w:semiHidden/>
    <w:unhideWhenUsed/>
    <w:rsid w:val="003834B4"/>
    <w:pPr>
      <w:spacing w:after="0" w:line="240" w:lineRule="auto"/>
    </w:pPr>
    <w:rPr>
      <w:sz w:val="20"/>
      <w:szCs w:val="20"/>
    </w:rPr>
  </w:style>
  <w:style w:type="character" w:customStyle="1" w:styleId="FootnoteTextChar">
    <w:name w:val="Footnote Text Char"/>
    <w:link w:val="FootnoteText"/>
    <w:uiPriority w:val="99"/>
    <w:semiHidden/>
    <w:rsid w:val="003834B4"/>
    <w:rPr>
      <w:rFonts w:ascii="Eras Medium ITC" w:hAnsi="Eras Medium ITC"/>
    </w:rPr>
  </w:style>
  <w:style w:type="character" w:styleId="FootnoteReference">
    <w:name w:val="footnote reference"/>
    <w:uiPriority w:val="99"/>
    <w:semiHidden/>
    <w:unhideWhenUsed/>
    <w:rsid w:val="003834B4"/>
    <w:rPr>
      <w:vertAlign w:val="superscript"/>
    </w:rPr>
  </w:style>
  <w:style w:type="paragraph" w:styleId="ListParagraph">
    <w:name w:val="List Paragraph"/>
    <w:basedOn w:val="Normal"/>
    <w:uiPriority w:val="34"/>
    <w:qFormat/>
    <w:rsid w:val="004C3371"/>
    <w:pPr>
      <w:ind w:left="720"/>
    </w:pPr>
  </w:style>
  <w:style w:type="paragraph" w:styleId="Title">
    <w:name w:val="Title"/>
    <w:basedOn w:val="Normal"/>
    <w:next w:val="Normal"/>
    <w:link w:val="TitleChar"/>
    <w:uiPriority w:val="10"/>
    <w:qFormat/>
    <w:rsid w:val="000B215E"/>
    <w:pPr>
      <w:spacing w:after="0" w:line="240" w:lineRule="auto"/>
      <w:contextualSpacing/>
    </w:pPr>
    <w:rPr>
      <w:rFonts w:ascii="Arial" w:eastAsia="Times New Roman" w:hAnsi="Arial"/>
      <w:spacing w:val="-10"/>
      <w:kern w:val="28"/>
      <w:sz w:val="56"/>
      <w:szCs w:val="56"/>
    </w:rPr>
  </w:style>
  <w:style w:type="character" w:customStyle="1" w:styleId="TitleChar">
    <w:name w:val="Title Char"/>
    <w:basedOn w:val="DefaultParagraphFont"/>
    <w:link w:val="Title"/>
    <w:uiPriority w:val="10"/>
    <w:rsid w:val="000B215E"/>
    <w:rPr>
      <w:rFonts w:ascii="Arial" w:eastAsia="Times New Roman" w:hAnsi="Arial"/>
      <w:spacing w:val="-10"/>
      <w:kern w:val="28"/>
      <w:sz w:val="56"/>
      <w:szCs w:val="56"/>
    </w:rPr>
  </w:style>
  <w:style w:type="paragraph" w:styleId="Subtitle">
    <w:name w:val="Subtitle"/>
    <w:basedOn w:val="Normal"/>
    <w:next w:val="Normal"/>
    <w:link w:val="SubtitleChar"/>
    <w:uiPriority w:val="11"/>
    <w:qFormat/>
    <w:rsid w:val="000B215E"/>
    <w:pPr>
      <w:numPr>
        <w:ilvl w:val="1"/>
      </w:numPr>
      <w:spacing w:after="160"/>
    </w:pPr>
    <w:rPr>
      <w:rFonts w:ascii="Arial" w:eastAsia="Times New Roman" w:hAnsi="Arial"/>
      <w:spacing w:val="15"/>
      <w:sz w:val="32"/>
    </w:rPr>
  </w:style>
  <w:style w:type="character" w:customStyle="1" w:styleId="SubtitleChar">
    <w:name w:val="Subtitle Char"/>
    <w:basedOn w:val="DefaultParagraphFont"/>
    <w:link w:val="Subtitle"/>
    <w:uiPriority w:val="11"/>
    <w:rsid w:val="000B215E"/>
    <w:rPr>
      <w:rFonts w:ascii="Arial" w:eastAsia="Times New Roman" w:hAnsi="Arial"/>
      <w:spacing w:val="15"/>
      <w:sz w:val="32"/>
      <w:szCs w:val="22"/>
    </w:rPr>
  </w:style>
  <w:style w:type="paragraph" w:customStyle="1" w:styleId="Default">
    <w:name w:val="Default"/>
    <w:rsid w:val="00A8071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501379"/>
    <w:rPr>
      <w:rFonts w:ascii="Arial" w:eastAsia="Times New Roman" w:hAnsi="Arial" w:cs="Arial"/>
      <w:b/>
      <w:bCs/>
      <w:kern w:val="32"/>
      <w:sz w:val="44"/>
      <w:szCs w:val="32"/>
    </w:rPr>
  </w:style>
  <w:style w:type="character" w:customStyle="1" w:styleId="Heading2Char">
    <w:name w:val="Heading 2 Char"/>
    <w:basedOn w:val="DefaultParagraphFont"/>
    <w:link w:val="Heading2"/>
    <w:uiPriority w:val="9"/>
    <w:rsid w:val="004748A1"/>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A1"/>
    <w:pPr>
      <w:spacing w:after="200" w:line="276" w:lineRule="auto"/>
    </w:pPr>
    <w:rPr>
      <w:rFonts w:ascii="Eras Medium ITC" w:hAnsi="Eras Medium ITC"/>
      <w:sz w:val="22"/>
      <w:szCs w:val="22"/>
    </w:rPr>
  </w:style>
  <w:style w:type="paragraph" w:styleId="Heading1">
    <w:name w:val="heading 1"/>
    <w:basedOn w:val="Normal"/>
    <w:next w:val="Normal"/>
    <w:link w:val="Heading1Char"/>
    <w:qFormat/>
    <w:rsid w:val="00501379"/>
    <w:pPr>
      <w:keepNext/>
      <w:pageBreakBefore/>
      <w:pBdr>
        <w:top w:val="single" w:sz="4" w:space="1" w:color="auto"/>
        <w:bottom w:val="single" w:sz="4" w:space="1" w:color="auto"/>
      </w:pBdr>
      <w:spacing w:before="240" w:after="240" w:line="240" w:lineRule="auto"/>
      <w:outlineLvl w:val="0"/>
    </w:pPr>
    <w:rPr>
      <w:rFonts w:ascii="Arial" w:eastAsia="Times New Roman" w:hAnsi="Arial" w:cs="Arial"/>
      <w:b/>
      <w:bCs/>
      <w:kern w:val="32"/>
      <w:sz w:val="44"/>
      <w:szCs w:val="32"/>
    </w:rPr>
  </w:style>
  <w:style w:type="paragraph" w:styleId="Heading2">
    <w:name w:val="heading 2"/>
    <w:basedOn w:val="MediumGrid21"/>
    <w:next w:val="Normal"/>
    <w:link w:val="Heading2Char"/>
    <w:uiPriority w:val="9"/>
    <w:qFormat/>
    <w:rsid w:val="004748A1"/>
    <w:pPr>
      <w:spacing w:before="240" w:after="120"/>
      <w:jc w:val="both"/>
      <w:outlineLvl w:val="1"/>
    </w:pPr>
    <w:rPr>
      <w:rFonts w:ascii="Calibri"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styleId="NoSpacing">
    <w:name w:val="No Spacing"/>
    <w:uiPriority w:val="1"/>
    <w:qFormat/>
    <w:rsid w:val="00F5718F"/>
    <w:rPr>
      <w:sz w:val="22"/>
      <w:szCs w:val="22"/>
    </w:rPr>
  </w:style>
  <w:style w:type="character" w:styleId="CommentReference">
    <w:name w:val="annotation reference"/>
    <w:uiPriority w:val="99"/>
    <w:semiHidden/>
    <w:unhideWhenUsed/>
    <w:rsid w:val="00BB217C"/>
    <w:rPr>
      <w:sz w:val="16"/>
      <w:szCs w:val="16"/>
    </w:rPr>
  </w:style>
  <w:style w:type="paragraph" w:styleId="CommentText">
    <w:name w:val="annotation text"/>
    <w:basedOn w:val="Normal"/>
    <w:link w:val="CommentTextChar"/>
    <w:uiPriority w:val="99"/>
    <w:semiHidden/>
    <w:unhideWhenUsed/>
    <w:rsid w:val="00BB217C"/>
    <w:rPr>
      <w:sz w:val="20"/>
      <w:szCs w:val="20"/>
    </w:rPr>
  </w:style>
  <w:style w:type="character" w:customStyle="1" w:styleId="CommentTextChar">
    <w:name w:val="Comment Text Char"/>
    <w:link w:val="CommentText"/>
    <w:uiPriority w:val="99"/>
    <w:semiHidden/>
    <w:rsid w:val="00BB217C"/>
    <w:rPr>
      <w:rFonts w:ascii="Eras Medium ITC" w:hAnsi="Eras Medium ITC"/>
    </w:rPr>
  </w:style>
  <w:style w:type="paragraph" w:styleId="CommentSubject">
    <w:name w:val="annotation subject"/>
    <w:basedOn w:val="CommentText"/>
    <w:next w:val="CommentText"/>
    <w:link w:val="CommentSubjectChar"/>
    <w:uiPriority w:val="99"/>
    <w:semiHidden/>
    <w:unhideWhenUsed/>
    <w:rsid w:val="00BB217C"/>
    <w:rPr>
      <w:b/>
      <w:bCs/>
    </w:rPr>
  </w:style>
  <w:style w:type="character" w:customStyle="1" w:styleId="CommentSubjectChar">
    <w:name w:val="Comment Subject Char"/>
    <w:link w:val="CommentSubject"/>
    <w:uiPriority w:val="99"/>
    <w:semiHidden/>
    <w:rsid w:val="00BB217C"/>
    <w:rPr>
      <w:rFonts w:ascii="Eras Medium ITC" w:hAnsi="Eras Medium ITC"/>
      <w:b/>
      <w:bCs/>
    </w:rPr>
  </w:style>
  <w:style w:type="character" w:styleId="Hyperlink">
    <w:name w:val="Hyperlink"/>
    <w:uiPriority w:val="99"/>
    <w:unhideWhenUsed/>
    <w:rsid w:val="00BC67B1"/>
    <w:rPr>
      <w:color w:val="0000FF"/>
      <w:u w:val="single"/>
    </w:rPr>
  </w:style>
  <w:style w:type="paragraph" w:customStyle="1" w:styleId="MediumGrid21">
    <w:name w:val="Medium Grid 21"/>
    <w:uiPriority w:val="1"/>
    <w:qFormat/>
    <w:rsid w:val="003834B4"/>
    <w:rPr>
      <w:rFonts w:ascii="Eras Medium ITC" w:hAnsi="Eras Medium ITC"/>
      <w:sz w:val="22"/>
      <w:szCs w:val="22"/>
    </w:rPr>
  </w:style>
  <w:style w:type="paragraph" w:styleId="FootnoteText">
    <w:name w:val="footnote text"/>
    <w:basedOn w:val="Normal"/>
    <w:link w:val="FootnoteTextChar"/>
    <w:uiPriority w:val="99"/>
    <w:semiHidden/>
    <w:unhideWhenUsed/>
    <w:rsid w:val="003834B4"/>
    <w:pPr>
      <w:spacing w:after="0" w:line="240" w:lineRule="auto"/>
    </w:pPr>
    <w:rPr>
      <w:sz w:val="20"/>
      <w:szCs w:val="20"/>
    </w:rPr>
  </w:style>
  <w:style w:type="character" w:customStyle="1" w:styleId="FootnoteTextChar">
    <w:name w:val="Footnote Text Char"/>
    <w:link w:val="FootnoteText"/>
    <w:uiPriority w:val="99"/>
    <w:semiHidden/>
    <w:rsid w:val="003834B4"/>
    <w:rPr>
      <w:rFonts w:ascii="Eras Medium ITC" w:hAnsi="Eras Medium ITC"/>
    </w:rPr>
  </w:style>
  <w:style w:type="character" w:styleId="FootnoteReference">
    <w:name w:val="footnote reference"/>
    <w:uiPriority w:val="99"/>
    <w:semiHidden/>
    <w:unhideWhenUsed/>
    <w:rsid w:val="003834B4"/>
    <w:rPr>
      <w:vertAlign w:val="superscript"/>
    </w:rPr>
  </w:style>
  <w:style w:type="paragraph" w:styleId="ListParagraph">
    <w:name w:val="List Paragraph"/>
    <w:basedOn w:val="Normal"/>
    <w:uiPriority w:val="34"/>
    <w:qFormat/>
    <w:rsid w:val="004C3371"/>
    <w:pPr>
      <w:ind w:left="720"/>
    </w:pPr>
  </w:style>
  <w:style w:type="paragraph" w:styleId="Title">
    <w:name w:val="Title"/>
    <w:basedOn w:val="Normal"/>
    <w:next w:val="Normal"/>
    <w:link w:val="TitleChar"/>
    <w:uiPriority w:val="10"/>
    <w:qFormat/>
    <w:rsid w:val="000B215E"/>
    <w:pPr>
      <w:spacing w:after="0" w:line="240" w:lineRule="auto"/>
      <w:contextualSpacing/>
    </w:pPr>
    <w:rPr>
      <w:rFonts w:ascii="Arial" w:eastAsia="Times New Roman" w:hAnsi="Arial"/>
      <w:spacing w:val="-10"/>
      <w:kern w:val="28"/>
      <w:sz w:val="56"/>
      <w:szCs w:val="56"/>
    </w:rPr>
  </w:style>
  <w:style w:type="character" w:customStyle="1" w:styleId="TitleChar">
    <w:name w:val="Title Char"/>
    <w:basedOn w:val="DefaultParagraphFont"/>
    <w:link w:val="Title"/>
    <w:uiPriority w:val="10"/>
    <w:rsid w:val="000B215E"/>
    <w:rPr>
      <w:rFonts w:ascii="Arial" w:eastAsia="Times New Roman" w:hAnsi="Arial"/>
      <w:spacing w:val="-10"/>
      <w:kern w:val="28"/>
      <w:sz w:val="56"/>
      <w:szCs w:val="56"/>
    </w:rPr>
  </w:style>
  <w:style w:type="paragraph" w:styleId="Subtitle">
    <w:name w:val="Subtitle"/>
    <w:basedOn w:val="Normal"/>
    <w:next w:val="Normal"/>
    <w:link w:val="SubtitleChar"/>
    <w:uiPriority w:val="11"/>
    <w:qFormat/>
    <w:rsid w:val="000B215E"/>
    <w:pPr>
      <w:numPr>
        <w:ilvl w:val="1"/>
      </w:numPr>
      <w:spacing w:after="160"/>
    </w:pPr>
    <w:rPr>
      <w:rFonts w:ascii="Arial" w:eastAsia="Times New Roman" w:hAnsi="Arial"/>
      <w:spacing w:val="15"/>
      <w:sz w:val="32"/>
    </w:rPr>
  </w:style>
  <w:style w:type="character" w:customStyle="1" w:styleId="SubtitleChar">
    <w:name w:val="Subtitle Char"/>
    <w:basedOn w:val="DefaultParagraphFont"/>
    <w:link w:val="Subtitle"/>
    <w:uiPriority w:val="11"/>
    <w:rsid w:val="000B215E"/>
    <w:rPr>
      <w:rFonts w:ascii="Arial" w:eastAsia="Times New Roman" w:hAnsi="Arial"/>
      <w:spacing w:val="15"/>
      <w:sz w:val="32"/>
      <w:szCs w:val="22"/>
    </w:rPr>
  </w:style>
  <w:style w:type="paragraph" w:customStyle="1" w:styleId="Default">
    <w:name w:val="Default"/>
    <w:rsid w:val="00A8071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501379"/>
    <w:rPr>
      <w:rFonts w:ascii="Arial" w:eastAsia="Times New Roman" w:hAnsi="Arial" w:cs="Arial"/>
      <w:b/>
      <w:bCs/>
      <w:kern w:val="32"/>
      <w:sz w:val="44"/>
      <w:szCs w:val="32"/>
    </w:rPr>
  </w:style>
  <w:style w:type="character" w:customStyle="1" w:styleId="Heading2Char">
    <w:name w:val="Heading 2 Char"/>
    <w:basedOn w:val="DefaultParagraphFont"/>
    <w:link w:val="Heading2"/>
    <w:uiPriority w:val="9"/>
    <w:rsid w:val="004748A1"/>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6354B8BDED4448FEBF3FFDAC60C18" ma:contentTypeVersion="2" ma:contentTypeDescription="Create a new document." ma:contentTypeScope="" ma:versionID="0ffc2dc4191fa9cb06781b06fe5bebb2">
  <xsd:schema xmlns:xsd="http://www.w3.org/2001/XMLSchema" xmlns:xs="http://www.w3.org/2001/XMLSchema" xmlns:p="http://schemas.microsoft.com/office/2006/metadata/properties" xmlns:ns2="d907f664-4418-4475-8a9b-5910fb2fdb2b" targetNamespace="http://schemas.microsoft.com/office/2006/metadata/properties" ma:root="true" ma:fieldsID="341c587a6b39be732fe300b8e19abeb1" ns2:_="">
    <xsd:import namespace="d907f664-4418-4475-8a9b-5910fb2fdb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7f664-4418-4475-8a9b-5910fb2fd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654E4-38B3-4A03-BE17-F499F0AB043B}"/>
</file>

<file path=customXml/itemProps2.xml><?xml version="1.0" encoding="utf-8"?>
<ds:datastoreItem xmlns:ds="http://schemas.openxmlformats.org/officeDocument/2006/customXml" ds:itemID="{AB424472-FAC4-414D-B621-0072B2E33B2E}"/>
</file>

<file path=customXml/itemProps3.xml><?xml version="1.0" encoding="utf-8"?>
<ds:datastoreItem xmlns:ds="http://schemas.openxmlformats.org/officeDocument/2006/customXml" ds:itemID="{BE49DB5A-BB15-48B9-A8C2-59F326BEC271}"/>
</file>

<file path=docProps/app.xml><?xml version="1.0" encoding="utf-8"?>
<Properties xmlns="http://schemas.openxmlformats.org/officeDocument/2006/extended-properties" xmlns:vt="http://schemas.openxmlformats.org/officeDocument/2006/docPropsVTypes">
  <Template>Normal.dotm</Template>
  <TotalTime>25</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DAS</cp:lastModifiedBy>
  <cp:revision>4</cp:revision>
  <cp:lastPrinted>2016-11-09T19:36:00Z</cp:lastPrinted>
  <dcterms:created xsi:type="dcterms:W3CDTF">2018-05-11T21:20:00Z</dcterms:created>
  <dcterms:modified xsi:type="dcterms:W3CDTF">2018-05-11T21:52:00Z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0x0101003796354B8BDED4448FEBF3FFDAC60C18</vt:lpwstr>
  </property>
</Properties>
</file>