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F468B" w14:textId="77777777" w:rsidR="00AC3FAA" w:rsidRPr="00321CC7" w:rsidRDefault="00AC3FAA" w:rsidP="00CF18C6">
      <w:pPr>
        <w:spacing w:after="0"/>
        <w:rPr>
          <w:rFonts w:ascii="Arial" w:hAnsi="Arial" w:cs="Arial"/>
          <w:color w:val="222222"/>
          <w:sz w:val="24"/>
          <w:szCs w:val="24"/>
          <w:shd w:val="clear" w:color="auto" w:fill="FFFFFF"/>
        </w:rPr>
      </w:pPr>
      <w:bookmarkStart w:id="0" w:name="_GoBack"/>
      <w:bookmarkEnd w:id="0"/>
    </w:p>
    <w:p w14:paraId="2602184A" w14:textId="77777777" w:rsidR="00C50B3E" w:rsidRPr="00321CC7" w:rsidRDefault="00D15675" w:rsidP="00CF18C6">
      <w:pPr>
        <w:spacing w:after="0"/>
        <w:rPr>
          <w:rFonts w:ascii="Arial" w:hAnsi="Arial" w:cs="Arial"/>
          <w:color w:val="222222"/>
          <w:sz w:val="24"/>
          <w:szCs w:val="24"/>
          <w:shd w:val="clear" w:color="auto" w:fill="FFFFFF"/>
        </w:rPr>
      </w:pPr>
      <w:r w:rsidRPr="00321CC7">
        <w:rPr>
          <w:rFonts w:ascii="Arial" w:hAnsi="Arial" w:cs="Arial"/>
          <w:color w:val="222222"/>
          <w:sz w:val="24"/>
          <w:szCs w:val="24"/>
          <w:shd w:val="clear" w:color="auto" w:fill="FFFFFF"/>
        </w:rPr>
        <w:tab/>
      </w:r>
      <w:r w:rsidRPr="00321CC7">
        <w:rPr>
          <w:rFonts w:ascii="Arial" w:hAnsi="Arial" w:cs="Arial"/>
          <w:color w:val="222222"/>
          <w:sz w:val="24"/>
          <w:szCs w:val="24"/>
          <w:shd w:val="clear" w:color="auto" w:fill="FFFFFF"/>
        </w:rPr>
        <w:tab/>
      </w:r>
      <w:r w:rsidRPr="00321CC7">
        <w:rPr>
          <w:rFonts w:ascii="Arial" w:hAnsi="Arial" w:cs="Arial"/>
          <w:color w:val="222222"/>
          <w:sz w:val="24"/>
          <w:szCs w:val="24"/>
          <w:shd w:val="clear" w:color="auto" w:fill="FFFFFF"/>
        </w:rPr>
        <w:tab/>
      </w:r>
      <w:r w:rsidRPr="00321CC7">
        <w:rPr>
          <w:rFonts w:ascii="Arial" w:hAnsi="Arial" w:cs="Arial"/>
          <w:color w:val="222222"/>
          <w:sz w:val="24"/>
          <w:szCs w:val="24"/>
          <w:shd w:val="clear" w:color="auto" w:fill="FFFFFF"/>
        </w:rPr>
        <w:tab/>
      </w:r>
      <w:r w:rsidRPr="00321CC7">
        <w:rPr>
          <w:rFonts w:ascii="Arial" w:hAnsi="Arial" w:cs="Arial"/>
          <w:color w:val="222222"/>
          <w:sz w:val="24"/>
          <w:szCs w:val="24"/>
          <w:shd w:val="clear" w:color="auto" w:fill="FFFFFF"/>
        </w:rPr>
        <w:tab/>
      </w:r>
      <w:r w:rsidRPr="00321CC7">
        <w:rPr>
          <w:rFonts w:ascii="Arial" w:hAnsi="Arial" w:cs="Arial"/>
          <w:color w:val="222222"/>
          <w:sz w:val="24"/>
          <w:szCs w:val="24"/>
          <w:shd w:val="clear" w:color="auto" w:fill="FFFFFF"/>
        </w:rPr>
        <w:tab/>
      </w:r>
      <w:r w:rsidRPr="00321CC7">
        <w:rPr>
          <w:rFonts w:ascii="Arial" w:hAnsi="Arial" w:cs="Arial"/>
          <w:color w:val="222222"/>
          <w:sz w:val="24"/>
          <w:szCs w:val="24"/>
          <w:shd w:val="clear" w:color="auto" w:fill="FFFFFF"/>
        </w:rPr>
        <w:tab/>
      </w:r>
    </w:p>
    <w:p w14:paraId="396AA7E6" w14:textId="77777777" w:rsidR="003834B4" w:rsidRPr="003834B4" w:rsidRDefault="003834B4" w:rsidP="003834B4">
      <w:pPr>
        <w:tabs>
          <w:tab w:val="left" w:pos="4290"/>
        </w:tabs>
        <w:spacing w:after="0" w:line="240" w:lineRule="auto"/>
        <w:rPr>
          <w:rFonts w:ascii="Calibri" w:hAnsi="Calibri"/>
        </w:rPr>
      </w:pPr>
    </w:p>
    <w:p w14:paraId="4BB7F44D" w14:textId="77777777" w:rsidR="000B215E" w:rsidRPr="000B215E" w:rsidRDefault="000B215E" w:rsidP="000B215E">
      <w:pPr>
        <w:pStyle w:val="Title"/>
        <w:pBdr>
          <w:top w:val="single" w:sz="24" w:space="1" w:color="auto"/>
          <w:bottom w:val="single" w:sz="24" w:space="1" w:color="auto"/>
        </w:pBdr>
        <w:spacing w:after="120" w:line="264" w:lineRule="auto"/>
        <w:rPr>
          <w:rFonts w:ascii="Verdana" w:hAnsi="Verdana"/>
          <w:b/>
          <w:i/>
          <w:sz w:val="100"/>
          <w:szCs w:val="100"/>
        </w:rPr>
      </w:pPr>
      <w:r>
        <w:rPr>
          <w:noProof/>
        </w:rPr>
        <mc:AlternateContent>
          <mc:Choice Requires="wpg">
            <w:drawing>
              <wp:anchor distT="0" distB="0" distL="114300" distR="114300" simplePos="0" relativeHeight="251659264" behindDoc="0" locked="0" layoutInCell="1" allowOverlap="1" wp14:anchorId="351BB43A" wp14:editId="02DDDA75">
                <wp:simplePos x="0" y="0"/>
                <wp:positionH relativeFrom="column">
                  <wp:posOffset>3497580</wp:posOffset>
                </wp:positionH>
                <wp:positionV relativeFrom="paragraph">
                  <wp:posOffset>155295</wp:posOffset>
                </wp:positionV>
                <wp:extent cx="1482090" cy="1482090"/>
                <wp:effectExtent l="38100" t="38100" r="60960" b="60960"/>
                <wp:wrapNone/>
                <wp:docPr id="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82090" cy="1482090"/>
                          <a:chOff x="0" y="0"/>
                          <a:chExt cx="2148840" cy="2148840"/>
                        </a:xfrm>
                      </wpg:grpSpPr>
                      <wps:wsp>
                        <wps:cNvPr id="6" name="Oval 3"/>
                        <wps:cNvSpPr>
                          <a:spLocks noChangeArrowheads="1"/>
                        </wps:cNvSpPr>
                        <wps:spPr bwMode="auto">
                          <a:xfrm>
                            <a:off x="0" y="0"/>
                            <a:ext cx="2148840" cy="2148840"/>
                          </a:xfrm>
                          <a:prstGeom prst="ellipse">
                            <a:avLst/>
                          </a:prstGeom>
                          <a:noFill/>
                          <a:ln w="88900" cmpd="sng">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 name="Group 4"/>
                        <wpg:cNvGrpSpPr>
                          <a:grpSpLocks/>
                        </wpg:cNvGrpSpPr>
                        <wpg:grpSpPr bwMode="auto">
                          <a:xfrm>
                            <a:off x="340242" y="552894"/>
                            <a:ext cx="1466850" cy="1235710"/>
                            <a:chOff x="8499" y="3430"/>
                            <a:chExt cx="2310" cy="1946"/>
                          </a:xfrm>
                        </wpg:grpSpPr>
                        <wps:wsp>
                          <wps:cNvPr id="8" name="Rectangle 5"/>
                          <wps:cNvSpPr>
                            <a:spLocks noChangeArrowheads="1"/>
                          </wps:cNvSpPr>
                          <wps:spPr bwMode="auto">
                            <a:xfrm>
                              <a:off x="8499" y="3430"/>
                              <a:ext cx="2310" cy="519"/>
                            </a:xfrm>
                            <a:prstGeom prst="rect">
                              <a:avLst/>
                            </a:prstGeom>
                            <a:solidFill>
                              <a:sysClr val="windowText" lastClr="000000"/>
                            </a:solidFill>
                            <a:ln w="9525">
                              <a:noFill/>
                              <a:miter lim="800000"/>
                              <a:headEnd/>
                              <a:tailEnd/>
                            </a:ln>
                          </wps:spPr>
                          <wps:bodyPr rot="0" vert="horz" wrap="square" lIns="91440" tIns="45720" rIns="91440" bIns="45720" anchor="t" anchorCtr="0" upright="1">
                            <a:noAutofit/>
                          </wps:bodyPr>
                        </wps:wsp>
                        <wps:wsp>
                          <wps:cNvPr id="14" name="Rectangle 6"/>
                          <wps:cNvSpPr>
                            <a:spLocks noChangeArrowheads="1"/>
                          </wps:cNvSpPr>
                          <wps:spPr bwMode="auto">
                            <a:xfrm rot="16200000">
                              <a:off x="8705" y="4130"/>
                              <a:ext cx="1890" cy="601"/>
                            </a:xfrm>
                            <a:prstGeom prst="rect">
                              <a:avLst/>
                            </a:prstGeom>
                            <a:solidFill>
                              <a:sysClr val="windowText" lastClr="000000"/>
                            </a:solidFill>
                            <a:ln w="9525">
                              <a:no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F091F71" id="Group 13" o:spid="_x0000_s1026" style="position:absolute;margin-left:275.4pt;margin-top:12.25pt;width:116.7pt;height:116.7pt;z-index:251659264" coordsize="21488,214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">
                <v:oval id="Oval 3" o:spid="_x0000_s1027" style="position:absolute;width:21488;height:214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" filled="f" strokecolor="windowText" strokeweight="7pt"/>
                <v:group id="Group 4" o:spid="_x0000_s1028" style="position:absolute;left:3402;top:5528;width:14668;height:12358" coordorigin="8499,3430" coordsize="2310,19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">
                  <v:rect id="Rectangle 5" o:spid="_x0000_s1029" style="position:absolute;left:8499;top:3430;width:2310;height:5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" fillcolor="windowText" stroked="f"/>
                  <v:rect id="Rectangle 6" o:spid="_x0000_s1030" style="position:absolute;left:8705;top:4130;width:1890;height:601;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" fillcolor="windowText" stroked="f"/>
                </v:group>
              </v:group>
            </w:pict>
          </mc:Fallback>
        </mc:AlternateContent>
      </w:r>
      <w:r w:rsidR="004748A1">
        <w:rPr>
          <w:rFonts w:ascii="Verdana" w:hAnsi="Verdana"/>
          <w:b/>
          <w:i/>
          <w:sz w:val="100"/>
          <w:szCs w:val="100"/>
        </w:rPr>
        <w:t xml:space="preserve">MBTA </w:t>
      </w:r>
      <w:r w:rsidR="004748A1">
        <w:rPr>
          <w:rFonts w:ascii="Verdana" w:hAnsi="Verdana"/>
          <w:b/>
          <w:i/>
          <w:sz w:val="100"/>
          <w:szCs w:val="100"/>
        </w:rPr>
        <w:br/>
        <w:t xml:space="preserve">Capital </w:t>
      </w:r>
    </w:p>
    <w:p w14:paraId="6B240E54" w14:textId="77777777" w:rsidR="000B215E" w:rsidRPr="00AF6541" w:rsidRDefault="004748A1" w:rsidP="000B215E">
      <w:pPr>
        <w:pStyle w:val="Title"/>
        <w:pBdr>
          <w:top w:val="single" w:sz="24" w:space="1" w:color="auto"/>
          <w:bottom w:val="single" w:sz="24" w:space="1" w:color="auto"/>
        </w:pBdr>
        <w:spacing w:after="120" w:line="264" w:lineRule="auto"/>
        <w:rPr>
          <w:rFonts w:ascii="Verdana" w:hAnsi="Verdana"/>
          <w:b/>
          <w:i/>
          <w:sz w:val="100"/>
          <w:szCs w:val="100"/>
        </w:rPr>
      </w:pPr>
      <w:r>
        <w:rPr>
          <w:rFonts w:ascii="Verdana" w:hAnsi="Verdana"/>
          <w:b/>
          <w:i/>
          <w:sz w:val="100"/>
          <w:szCs w:val="100"/>
        </w:rPr>
        <w:t xml:space="preserve">Expense </w:t>
      </w:r>
      <w:r w:rsidR="000B215E" w:rsidRPr="00AF6541">
        <w:rPr>
          <w:rFonts w:ascii="Verdana" w:hAnsi="Verdana"/>
          <w:b/>
          <w:i/>
          <w:sz w:val="100"/>
          <w:szCs w:val="100"/>
        </w:rPr>
        <w:t>Policy</w:t>
      </w:r>
    </w:p>
    <w:p w14:paraId="61469CFB" w14:textId="77777777" w:rsidR="000B215E" w:rsidRPr="000B215E" w:rsidRDefault="000B215E" w:rsidP="000B215E">
      <w:pPr>
        <w:rPr>
          <w:color w:val="000000"/>
          <w:sz w:val="20"/>
          <w:szCs w:val="20"/>
        </w:rPr>
      </w:pPr>
    </w:p>
    <w:p w14:paraId="6D013BBF" w14:textId="77777777" w:rsidR="000B215E" w:rsidRPr="00A80718" w:rsidRDefault="00A80718" w:rsidP="00A80718">
      <w:pPr>
        <w:spacing w:after="120"/>
        <w:rPr>
          <w:rFonts w:ascii="Arial" w:eastAsia="Times New Roman" w:hAnsi="Arial"/>
          <w:color w:val="000000" w:themeColor="text1"/>
          <w:sz w:val="32"/>
          <w:szCs w:val="32"/>
        </w:rPr>
      </w:pPr>
      <w:r w:rsidRPr="00A80718">
        <w:rPr>
          <w:rFonts w:ascii="Arial" w:eastAsia="Times New Roman" w:hAnsi="Arial"/>
          <w:color w:val="000000" w:themeColor="text1"/>
          <w:sz w:val="32"/>
          <w:szCs w:val="32"/>
        </w:rPr>
        <w:t xml:space="preserve">Policy on the </w:t>
      </w:r>
      <w:r w:rsidR="004748A1">
        <w:rPr>
          <w:rFonts w:ascii="Arial" w:eastAsia="Times New Roman" w:hAnsi="Arial"/>
          <w:color w:val="000000" w:themeColor="text1"/>
          <w:sz w:val="32"/>
          <w:szCs w:val="32"/>
        </w:rPr>
        <w:t>Uses of Capital Funds</w:t>
      </w:r>
    </w:p>
    <w:p w14:paraId="635E042C" w14:textId="77777777" w:rsidR="00A80718" w:rsidRDefault="00A80718" w:rsidP="000B215E">
      <w:pPr>
        <w:pStyle w:val="Subtitle"/>
        <w:rPr>
          <w:color w:val="000000"/>
          <w:sz w:val="20"/>
          <w:szCs w:val="20"/>
        </w:rPr>
      </w:pPr>
    </w:p>
    <w:p w14:paraId="28D2FA81" w14:textId="2FF6B81E" w:rsidR="000B215E" w:rsidRPr="000B215E" w:rsidRDefault="000B215E" w:rsidP="000B215E">
      <w:pPr>
        <w:pStyle w:val="Subtitle"/>
        <w:rPr>
          <w:color w:val="000000"/>
          <w:sz w:val="20"/>
          <w:szCs w:val="20"/>
        </w:rPr>
      </w:pPr>
      <w:r w:rsidRPr="000B215E">
        <w:rPr>
          <w:color w:val="000000"/>
          <w:sz w:val="20"/>
          <w:szCs w:val="20"/>
        </w:rPr>
        <w:t>MBTA Fiscal and Management Control Board</w:t>
      </w:r>
      <w:r w:rsidRPr="000B215E">
        <w:rPr>
          <w:color w:val="000000"/>
          <w:sz w:val="20"/>
          <w:szCs w:val="20"/>
        </w:rPr>
        <w:br/>
      </w:r>
      <w:r w:rsidR="00BF11E4" w:rsidRPr="00C53811">
        <w:rPr>
          <w:color w:val="000000"/>
          <w:sz w:val="20"/>
          <w:szCs w:val="20"/>
        </w:rPr>
        <w:t>Approved 8</w:t>
      </w:r>
      <w:r w:rsidR="00A53230">
        <w:rPr>
          <w:color w:val="000000"/>
          <w:sz w:val="20"/>
          <w:szCs w:val="20"/>
        </w:rPr>
        <w:t>/13/18 (supersedes and replaces policy approved 5/14/18)</w:t>
      </w:r>
    </w:p>
    <w:p w14:paraId="40E0FDA1" w14:textId="77777777" w:rsidR="000B215E" w:rsidRDefault="000B215E" w:rsidP="000B215E">
      <w:pPr>
        <w:tabs>
          <w:tab w:val="left" w:pos="2685"/>
        </w:tabs>
        <w:rPr>
          <w:rFonts w:ascii="Arial Narrow" w:hAnsi="Arial Narrow"/>
          <w:b/>
          <w:sz w:val="28"/>
        </w:rPr>
      </w:pPr>
    </w:p>
    <w:p w14:paraId="126EF05E" w14:textId="77777777" w:rsidR="000B215E" w:rsidRDefault="000B215E" w:rsidP="000B215E">
      <w:pPr>
        <w:tabs>
          <w:tab w:val="left" w:pos="2685"/>
        </w:tabs>
        <w:rPr>
          <w:rFonts w:ascii="Arial Narrow" w:hAnsi="Arial Narrow"/>
          <w:b/>
          <w:sz w:val="28"/>
        </w:rPr>
      </w:pPr>
    </w:p>
    <w:p w14:paraId="450808AF" w14:textId="77777777" w:rsidR="000B215E" w:rsidRDefault="000B215E" w:rsidP="000B215E">
      <w:pPr>
        <w:tabs>
          <w:tab w:val="left" w:pos="2685"/>
        </w:tabs>
        <w:rPr>
          <w:rFonts w:ascii="Arial Narrow" w:hAnsi="Arial Narrow"/>
          <w:b/>
          <w:sz w:val="28"/>
        </w:rPr>
      </w:pPr>
    </w:p>
    <w:p w14:paraId="604206CD" w14:textId="77777777" w:rsidR="000B215E" w:rsidRDefault="000B215E" w:rsidP="000B215E">
      <w:pPr>
        <w:tabs>
          <w:tab w:val="left" w:pos="2685"/>
        </w:tabs>
        <w:rPr>
          <w:rFonts w:ascii="Arial Narrow" w:hAnsi="Arial Narrow"/>
          <w:b/>
          <w:sz w:val="28"/>
        </w:rPr>
      </w:pPr>
    </w:p>
    <w:p w14:paraId="600BCF85" w14:textId="77777777" w:rsidR="000B215E" w:rsidRPr="00CF6892" w:rsidRDefault="000B215E" w:rsidP="000B215E">
      <w:pPr>
        <w:tabs>
          <w:tab w:val="left" w:pos="2685"/>
        </w:tabs>
        <w:rPr>
          <w:b/>
        </w:rPr>
      </w:pPr>
    </w:p>
    <w:p w14:paraId="4025147B" w14:textId="77777777" w:rsidR="000B215E" w:rsidRDefault="000B215E" w:rsidP="000B215E">
      <w:pPr>
        <w:spacing w:after="160" w:line="259" w:lineRule="auto"/>
        <w:rPr>
          <w:b/>
        </w:rPr>
      </w:pPr>
      <w:r>
        <w:rPr>
          <w:noProof/>
        </w:rPr>
        <w:drawing>
          <wp:inline distT="0" distB="0" distL="0" distR="0" wp14:anchorId="141275A0" wp14:editId="23373AAB">
            <wp:extent cx="2657475" cy="495300"/>
            <wp:effectExtent l="0" t="0" r="9525" b="0"/>
            <wp:docPr id="4" name="Picture 1" descr="MBTA Logo, Massachusetts Bay Transportation Auth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A Logo, Massachusetts Bay Transportation Authorit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7475" cy="495300"/>
                    </a:xfrm>
                    <a:prstGeom prst="rect">
                      <a:avLst/>
                    </a:prstGeom>
                    <a:noFill/>
                    <a:ln>
                      <a:noFill/>
                    </a:ln>
                  </pic:spPr>
                </pic:pic>
              </a:graphicData>
            </a:graphic>
          </wp:inline>
        </w:drawing>
      </w:r>
    </w:p>
    <w:p w14:paraId="698F937D" w14:textId="77777777" w:rsidR="003834B4" w:rsidRDefault="003834B4" w:rsidP="003834B4">
      <w:pPr>
        <w:tabs>
          <w:tab w:val="left" w:pos="4290"/>
        </w:tabs>
        <w:spacing w:after="0" w:line="240" w:lineRule="auto"/>
        <w:rPr>
          <w:rFonts w:ascii="Calibri" w:hAnsi="Calibri" w:cs="Arial"/>
        </w:rPr>
      </w:pPr>
    </w:p>
    <w:p w14:paraId="441A1653" w14:textId="77777777" w:rsidR="000B215E" w:rsidRDefault="000B215E" w:rsidP="003834B4">
      <w:pPr>
        <w:tabs>
          <w:tab w:val="left" w:pos="4290"/>
        </w:tabs>
        <w:spacing w:after="0" w:line="240" w:lineRule="auto"/>
        <w:rPr>
          <w:rFonts w:ascii="Calibri" w:hAnsi="Calibri" w:cs="Arial"/>
        </w:rPr>
      </w:pPr>
    </w:p>
    <w:p w14:paraId="37D747EB" w14:textId="77777777" w:rsidR="000B215E" w:rsidRDefault="000B215E" w:rsidP="003834B4">
      <w:pPr>
        <w:tabs>
          <w:tab w:val="left" w:pos="4290"/>
        </w:tabs>
        <w:spacing w:after="0" w:line="240" w:lineRule="auto"/>
        <w:rPr>
          <w:rFonts w:ascii="Calibri" w:hAnsi="Calibri" w:cs="Arial"/>
        </w:rPr>
      </w:pPr>
    </w:p>
    <w:p w14:paraId="58EECD13" w14:textId="77777777" w:rsidR="000B215E" w:rsidRDefault="000B215E" w:rsidP="003834B4">
      <w:pPr>
        <w:tabs>
          <w:tab w:val="left" w:pos="4290"/>
        </w:tabs>
        <w:spacing w:after="0" w:line="240" w:lineRule="auto"/>
        <w:rPr>
          <w:rFonts w:ascii="Calibri" w:hAnsi="Calibri" w:cs="Arial"/>
        </w:rPr>
      </w:pPr>
    </w:p>
    <w:p w14:paraId="5C3E2F69" w14:textId="77777777" w:rsidR="000B215E" w:rsidRDefault="000B215E" w:rsidP="003834B4">
      <w:pPr>
        <w:tabs>
          <w:tab w:val="left" w:pos="4290"/>
        </w:tabs>
        <w:spacing w:after="0" w:line="240" w:lineRule="auto"/>
        <w:rPr>
          <w:rFonts w:ascii="Calibri" w:hAnsi="Calibri" w:cs="Arial"/>
        </w:rPr>
      </w:pPr>
    </w:p>
    <w:p w14:paraId="58ADC35B" w14:textId="77777777" w:rsidR="000B215E" w:rsidRDefault="000B215E" w:rsidP="003834B4">
      <w:pPr>
        <w:tabs>
          <w:tab w:val="left" w:pos="4290"/>
        </w:tabs>
        <w:spacing w:after="0" w:line="240" w:lineRule="auto"/>
        <w:rPr>
          <w:rFonts w:ascii="Calibri" w:hAnsi="Calibri" w:cs="Arial"/>
        </w:rPr>
      </w:pPr>
    </w:p>
    <w:p w14:paraId="1D2C6FB3" w14:textId="77777777" w:rsidR="00A80718" w:rsidRPr="003834B4" w:rsidRDefault="00A80718" w:rsidP="003834B4">
      <w:pPr>
        <w:tabs>
          <w:tab w:val="left" w:pos="4290"/>
        </w:tabs>
        <w:spacing w:after="0" w:line="240" w:lineRule="auto"/>
        <w:rPr>
          <w:rFonts w:ascii="Calibri" w:hAnsi="Calibri" w:cs="Arial"/>
        </w:rPr>
      </w:pPr>
    </w:p>
    <w:p w14:paraId="4CC5E03F" w14:textId="77777777" w:rsidR="00501379" w:rsidRPr="00501379" w:rsidRDefault="00501379" w:rsidP="00501379">
      <w:pPr>
        <w:pStyle w:val="Heading1"/>
        <w:rPr>
          <w:sz w:val="56"/>
        </w:rPr>
      </w:pPr>
      <w:r w:rsidRPr="00501379">
        <w:rPr>
          <w:color w:val="000000" w:themeColor="text1"/>
        </w:rPr>
        <w:lastRenderedPageBreak/>
        <w:t xml:space="preserve">Policy on </w:t>
      </w:r>
      <w:r w:rsidR="004748A1">
        <w:rPr>
          <w:color w:val="000000" w:themeColor="text1"/>
        </w:rPr>
        <w:t>the Uses of Capital Funds</w:t>
      </w:r>
    </w:p>
    <w:p w14:paraId="5E38AFE5" w14:textId="77777777" w:rsidR="003834B4" w:rsidRPr="004748A1" w:rsidRDefault="000D3CE9" w:rsidP="004748A1">
      <w:pPr>
        <w:pStyle w:val="Heading2"/>
      </w:pPr>
      <w:r>
        <w:t xml:space="preserve">I. </w:t>
      </w:r>
      <w:r w:rsidR="004748A1">
        <w:t>Purpose</w:t>
      </w:r>
    </w:p>
    <w:p w14:paraId="3FC0CA52" w14:textId="002D6D77" w:rsidR="004748A1" w:rsidRPr="004748A1" w:rsidRDefault="004748A1" w:rsidP="004748A1">
      <w:pPr>
        <w:pStyle w:val="MediumGrid21"/>
        <w:jc w:val="both"/>
        <w:rPr>
          <w:rFonts w:ascii="Calibri" w:hAnsi="Calibri"/>
          <w:sz w:val="24"/>
          <w:szCs w:val="24"/>
        </w:rPr>
      </w:pPr>
      <w:r w:rsidRPr="004748A1">
        <w:rPr>
          <w:rFonts w:ascii="Calibri" w:hAnsi="Calibri"/>
          <w:sz w:val="24"/>
          <w:szCs w:val="24"/>
        </w:rPr>
        <w:t>The purpose of this policy is to provide high-level guidance on appropriate uses of capital funds</w:t>
      </w:r>
      <w:r w:rsidR="00F603E4">
        <w:rPr>
          <w:rFonts w:ascii="Calibri" w:hAnsi="Calibri"/>
          <w:sz w:val="24"/>
          <w:szCs w:val="24"/>
        </w:rPr>
        <w:t>, consistent with</w:t>
      </w:r>
      <w:r w:rsidR="00951F3D">
        <w:rPr>
          <w:rFonts w:ascii="Calibri" w:hAnsi="Calibri"/>
          <w:sz w:val="24"/>
          <w:szCs w:val="24"/>
        </w:rPr>
        <w:t xml:space="preserve"> </w:t>
      </w:r>
      <w:r w:rsidR="009F7339">
        <w:rPr>
          <w:rFonts w:ascii="Calibri" w:hAnsi="Calibri"/>
          <w:sz w:val="24"/>
          <w:szCs w:val="24"/>
        </w:rPr>
        <w:t>MGL Chapter 161A</w:t>
      </w:r>
      <w:r w:rsidR="00CA3D71">
        <w:rPr>
          <w:rFonts w:ascii="Calibri" w:hAnsi="Calibri"/>
          <w:sz w:val="24"/>
          <w:szCs w:val="24"/>
        </w:rPr>
        <w:t>,</w:t>
      </w:r>
      <w:r w:rsidR="009F7339">
        <w:rPr>
          <w:rFonts w:ascii="Calibri" w:hAnsi="Calibri"/>
          <w:sz w:val="24"/>
          <w:szCs w:val="24"/>
        </w:rPr>
        <w:t xml:space="preserve"> Section 20</w:t>
      </w:r>
      <w:r w:rsidR="00CA3D71">
        <w:rPr>
          <w:rFonts w:ascii="Calibri" w:hAnsi="Calibri"/>
          <w:sz w:val="24"/>
          <w:szCs w:val="24"/>
        </w:rPr>
        <w:t>,</w:t>
      </w:r>
      <w:r w:rsidR="009F7339">
        <w:rPr>
          <w:rFonts w:ascii="Calibri" w:hAnsi="Calibri"/>
          <w:sz w:val="24"/>
          <w:szCs w:val="24"/>
        </w:rPr>
        <w:t xml:space="preserve"> as amended</w:t>
      </w:r>
      <w:r w:rsidR="00CA3D71">
        <w:rPr>
          <w:rFonts w:ascii="Calibri" w:hAnsi="Calibri"/>
          <w:sz w:val="24"/>
          <w:szCs w:val="24"/>
        </w:rPr>
        <w:t xml:space="preserve">, Chapter 53 of Title 49, United States Code, as amended by Fixing America’s Surface Transportation Act, </w:t>
      </w:r>
      <w:r w:rsidRPr="004748A1">
        <w:rPr>
          <w:rFonts w:ascii="Calibri" w:hAnsi="Calibri"/>
          <w:sz w:val="24"/>
          <w:szCs w:val="24"/>
        </w:rPr>
        <w:t xml:space="preserve">, and relevant Federal grant guidance and circulars.  Clear guidance on capital expenses will help ensure that the </w:t>
      </w:r>
      <w:r w:rsidR="00CF62C2">
        <w:rPr>
          <w:rFonts w:ascii="Calibri" w:hAnsi="Calibri"/>
          <w:sz w:val="24"/>
          <w:szCs w:val="24"/>
        </w:rPr>
        <w:t>A</w:t>
      </w:r>
      <w:r w:rsidRPr="004748A1">
        <w:rPr>
          <w:rFonts w:ascii="Calibri" w:hAnsi="Calibri"/>
          <w:sz w:val="24"/>
          <w:szCs w:val="24"/>
        </w:rPr>
        <w:t>uthority does not commingle funds between its operating and capital budgets and allow for the efficient and effective use of available capital resources to deliver the MBTA’s capital plan.</w:t>
      </w:r>
    </w:p>
    <w:p w14:paraId="621E755E" w14:textId="77777777" w:rsidR="004748A1" w:rsidRPr="004748A1" w:rsidRDefault="004748A1" w:rsidP="004748A1">
      <w:pPr>
        <w:pStyle w:val="MediumGrid21"/>
        <w:jc w:val="both"/>
        <w:rPr>
          <w:rFonts w:ascii="Calibri" w:hAnsi="Calibri"/>
          <w:sz w:val="24"/>
          <w:szCs w:val="24"/>
        </w:rPr>
      </w:pPr>
    </w:p>
    <w:p w14:paraId="45897F39" w14:textId="77777777" w:rsidR="004748A1" w:rsidRPr="003834B4" w:rsidRDefault="004748A1" w:rsidP="004748A1">
      <w:pPr>
        <w:pStyle w:val="MediumGrid21"/>
        <w:jc w:val="both"/>
        <w:rPr>
          <w:rFonts w:ascii="Calibri" w:hAnsi="Calibri"/>
          <w:sz w:val="24"/>
          <w:szCs w:val="24"/>
        </w:rPr>
      </w:pPr>
      <w:r w:rsidRPr="004748A1">
        <w:rPr>
          <w:rFonts w:ascii="Calibri" w:hAnsi="Calibri"/>
          <w:sz w:val="24"/>
          <w:szCs w:val="24"/>
        </w:rPr>
        <w:t>This policy will be supplemented by detailed implementation guidance, including standard operating procedures for capital planning, programming, budgeting, and execution, to include timekeeping, accounting, and internal controls.</w:t>
      </w:r>
    </w:p>
    <w:p w14:paraId="46E29303" w14:textId="77777777" w:rsidR="003834B4" w:rsidRPr="004748A1" w:rsidRDefault="000D3CE9" w:rsidP="004748A1">
      <w:pPr>
        <w:pStyle w:val="Heading2"/>
      </w:pPr>
      <w:r>
        <w:t xml:space="preserve">II. </w:t>
      </w:r>
      <w:r w:rsidR="004748A1">
        <w:t>Definitions</w:t>
      </w:r>
    </w:p>
    <w:p w14:paraId="7D2EA3BE" w14:textId="77777777" w:rsidR="004748A1" w:rsidRPr="004748A1" w:rsidRDefault="004748A1" w:rsidP="004748A1">
      <w:pPr>
        <w:pStyle w:val="MediumGrid21"/>
        <w:jc w:val="both"/>
        <w:rPr>
          <w:rFonts w:ascii="Calibri" w:hAnsi="Calibri"/>
          <w:sz w:val="24"/>
          <w:szCs w:val="24"/>
        </w:rPr>
      </w:pPr>
      <w:r w:rsidRPr="004748A1">
        <w:rPr>
          <w:rFonts w:ascii="Calibri" w:hAnsi="Calibri"/>
          <w:sz w:val="24"/>
          <w:szCs w:val="24"/>
        </w:rPr>
        <w:t>For the purposes of capital planning and budgeting, the following definitions apply:</w:t>
      </w:r>
    </w:p>
    <w:p w14:paraId="014C9F12" w14:textId="77777777" w:rsidR="004748A1" w:rsidRPr="004748A1" w:rsidRDefault="004748A1" w:rsidP="004748A1">
      <w:pPr>
        <w:pStyle w:val="MediumGrid21"/>
        <w:jc w:val="both"/>
        <w:rPr>
          <w:rFonts w:ascii="Calibri" w:hAnsi="Calibri"/>
          <w:sz w:val="24"/>
          <w:szCs w:val="24"/>
        </w:rPr>
      </w:pPr>
      <w:r w:rsidRPr="004748A1">
        <w:rPr>
          <w:rFonts w:ascii="Calibri" w:hAnsi="Calibri"/>
          <w:sz w:val="24"/>
          <w:szCs w:val="24"/>
        </w:rPr>
        <w:t xml:space="preserve"> </w:t>
      </w:r>
    </w:p>
    <w:p w14:paraId="737F3081" w14:textId="77777777" w:rsidR="004748A1" w:rsidRDefault="004748A1" w:rsidP="004748A1">
      <w:pPr>
        <w:pStyle w:val="MediumGrid21"/>
        <w:numPr>
          <w:ilvl w:val="0"/>
          <w:numId w:val="6"/>
        </w:numPr>
        <w:jc w:val="both"/>
        <w:rPr>
          <w:rFonts w:ascii="Calibri" w:hAnsi="Calibri"/>
          <w:sz w:val="24"/>
          <w:szCs w:val="24"/>
        </w:rPr>
      </w:pPr>
      <w:r w:rsidRPr="004748A1">
        <w:rPr>
          <w:rFonts w:ascii="Calibri" w:hAnsi="Calibri"/>
          <w:sz w:val="24"/>
          <w:szCs w:val="24"/>
          <w:u w:val="single"/>
        </w:rPr>
        <w:t>Capital Investment Plan (CIP)</w:t>
      </w:r>
      <w:r w:rsidRPr="004748A1">
        <w:rPr>
          <w:rFonts w:ascii="Calibri" w:hAnsi="Calibri"/>
          <w:sz w:val="24"/>
          <w:szCs w:val="24"/>
        </w:rPr>
        <w:t xml:space="preserve"> is the MBTA’s rolling five-year capital plan that aligns anticipated sources of capital funds with capital projects planned during the five-year window.</w:t>
      </w:r>
    </w:p>
    <w:p w14:paraId="7174C331" w14:textId="77777777" w:rsidR="004748A1" w:rsidRPr="004748A1" w:rsidRDefault="004748A1" w:rsidP="004748A1">
      <w:pPr>
        <w:pStyle w:val="MediumGrid21"/>
        <w:ind w:left="1080"/>
        <w:jc w:val="both"/>
        <w:rPr>
          <w:rFonts w:ascii="Calibri" w:hAnsi="Calibri"/>
          <w:sz w:val="24"/>
          <w:szCs w:val="24"/>
        </w:rPr>
      </w:pPr>
    </w:p>
    <w:p w14:paraId="27711D9F" w14:textId="77777777" w:rsidR="004748A1" w:rsidRDefault="004748A1" w:rsidP="004748A1">
      <w:pPr>
        <w:pStyle w:val="MediumGrid21"/>
        <w:numPr>
          <w:ilvl w:val="0"/>
          <w:numId w:val="6"/>
        </w:numPr>
        <w:jc w:val="both"/>
        <w:rPr>
          <w:rFonts w:ascii="Calibri" w:hAnsi="Calibri"/>
          <w:sz w:val="24"/>
          <w:szCs w:val="24"/>
        </w:rPr>
      </w:pPr>
      <w:r w:rsidRPr="004748A1">
        <w:rPr>
          <w:rFonts w:ascii="Calibri" w:hAnsi="Calibri"/>
          <w:sz w:val="24"/>
          <w:szCs w:val="24"/>
          <w:u w:val="single"/>
        </w:rPr>
        <w:t>Capital funds</w:t>
      </w:r>
      <w:r w:rsidRPr="004748A1">
        <w:rPr>
          <w:rFonts w:ascii="Calibri" w:hAnsi="Calibri"/>
          <w:sz w:val="24"/>
          <w:szCs w:val="24"/>
        </w:rPr>
        <w:t xml:space="preserve"> are Federal grants, MBTA revenue bonds, State bonds, or other State assistance or revenue designated to pay for or reimburse the MBTA for capital expenses, including the Capital Maintenance Fund “Lockbox”.  </w:t>
      </w:r>
    </w:p>
    <w:p w14:paraId="398A291D" w14:textId="77777777" w:rsidR="004748A1" w:rsidRPr="004748A1" w:rsidRDefault="004748A1" w:rsidP="004748A1">
      <w:pPr>
        <w:pStyle w:val="MediumGrid21"/>
        <w:ind w:left="1080"/>
        <w:jc w:val="both"/>
        <w:rPr>
          <w:rFonts w:ascii="Calibri" w:hAnsi="Calibri"/>
          <w:sz w:val="24"/>
          <w:szCs w:val="24"/>
        </w:rPr>
      </w:pPr>
    </w:p>
    <w:p w14:paraId="04581AE6" w14:textId="77777777" w:rsidR="004748A1" w:rsidRDefault="004748A1" w:rsidP="004748A1">
      <w:pPr>
        <w:pStyle w:val="MediumGrid21"/>
        <w:numPr>
          <w:ilvl w:val="0"/>
          <w:numId w:val="6"/>
        </w:numPr>
        <w:jc w:val="both"/>
        <w:rPr>
          <w:rFonts w:ascii="Calibri" w:hAnsi="Calibri"/>
          <w:sz w:val="24"/>
          <w:szCs w:val="24"/>
        </w:rPr>
      </w:pPr>
      <w:r w:rsidRPr="004748A1">
        <w:rPr>
          <w:rFonts w:ascii="Calibri" w:hAnsi="Calibri"/>
          <w:sz w:val="24"/>
          <w:szCs w:val="24"/>
          <w:u w:val="single"/>
        </w:rPr>
        <w:t>Capital expenses</w:t>
      </w:r>
      <w:r w:rsidRPr="004748A1">
        <w:rPr>
          <w:rFonts w:ascii="Calibri" w:hAnsi="Calibri"/>
          <w:sz w:val="24"/>
          <w:szCs w:val="24"/>
        </w:rPr>
        <w:t xml:space="preserve"> are costs incurred during a capital project, including professional services, construction, materials, labor costs, related fringe benefits, and an allocated share of general and administrative costs. </w:t>
      </w:r>
    </w:p>
    <w:p w14:paraId="430CA978" w14:textId="77777777" w:rsidR="004748A1" w:rsidRPr="004748A1" w:rsidRDefault="004748A1" w:rsidP="004748A1">
      <w:pPr>
        <w:pStyle w:val="MediumGrid21"/>
        <w:ind w:left="1080"/>
        <w:jc w:val="both"/>
        <w:rPr>
          <w:rFonts w:ascii="Calibri" w:hAnsi="Calibri"/>
          <w:sz w:val="24"/>
          <w:szCs w:val="24"/>
        </w:rPr>
      </w:pPr>
    </w:p>
    <w:p w14:paraId="57CE381C" w14:textId="77777777" w:rsidR="004748A1" w:rsidRDefault="004748A1" w:rsidP="004748A1">
      <w:pPr>
        <w:pStyle w:val="MediumGrid21"/>
        <w:numPr>
          <w:ilvl w:val="0"/>
          <w:numId w:val="6"/>
        </w:numPr>
        <w:jc w:val="both"/>
        <w:rPr>
          <w:rFonts w:ascii="Calibri" w:hAnsi="Calibri"/>
          <w:sz w:val="24"/>
          <w:szCs w:val="24"/>
        </w:rPr>
      </w:pPr>
      <w:r w:rsidRPr="004748A1">
        <w:rPr>
          <w:rFonts w:ascii="Calibri" w:hAnsi="Calibri"/>
          <w:sz w:val="24"/>
          <w:szCs w:val="24"/>
          <w:u w:val="single"/>
        </w:rPr>
        <w:t>Capital projects</w:t>
      </w:r>
      <w:r w:rsidRPr="004748A1">
        <w:rPr>
          <w:rFonts w:ascii="Calibri" w:hAnsi="Calibri"/>
          <w:sz w:val="24"/>
          <w:szCs w:val="24"/>
        </w:rPr>
        <w:t xml:space="preserve"> are investments or activities related to acquiring, constructing, or improving a capital asset. Capital funds are programmed to specific capital projects in the CIP or approved for lockbox funding by the Pay-Go Committee.  Therefore, in order for an expense to be eligible for capital funds, it must be associated with an approved capital project.</w:t>
      </w:r>
    </w:p>
    <w:p w14:paraId="1D4B6A02" w14:textId="77777777" w:rsidR="004748A1" w:rsidRPr="004748A1" w:rsidRDefault="004748A1" w:rsidP="004748A1">
      <w:pPr>
        <w:pStyle w:val="MediumGrid21"/>
        <w:ind w:left="1080"/>
        <w:jc w:val="both"/>
        <w:rPr>
          <w:rFonts w:ascii="Calibri" w:hAnsi="Calibri"/>
          <w:sz w:val="24"/>
          <w:szCs w:val="24"/>
        </w:rPr>
      </w:pPr>
    </w:p>
    <w:p w14:paraId="712E8E6A" w14:textId="77777777" w:rsidR="008B3612" w:rsidRDefault="004748A1" w:rsidP="004748A1">
      <w:pPr>
        <w:pStyle w:val="MediumGrid21"/>
        <w:numPr>
          <w:ilvl w:val="0"/>
          <w:numId w:val="6"/>
        </w:numPr>
        <w:jc w:val="both"/>
        <w:rPr>
          <w:rFonts w:ascii="Calibri" w:hAnsi="Calibri"/>
          <w:b/>
          <w:sz w:val="24"/>
          <w:szCs w:val="24"/>
        </w:rPr>
      </w:pPr>
      <w:r w:rsidRPr="004748A1">
        <w:rPr>
          <w:rFonts w:ascii="Calibri" w:hAnsi="Calibri"/>
          <w:sz w:val="24"/>
          <w:szCs w:val="24"/>
          <w:u w:val="single"/>
        </w:rPr>
        <w:t>Capital assets</w:t>
      </w:r>
      <w:r w:rsidRPr="004748A1">
        <w:rPr>
          <w:rFonts w:ascii="Calibri" w:hAnsi="Calibri"/>
          <w:sz w:val="24"/>
          <w:szCs w:val="24"/>
        </w:rPr>
        <w:t xml:space="preserve"> are vehicles, facilities, units of equipment, or elements of infrastructure with a useful life of more than one year and an acquisition cost that is equal or greater than $5,000.  </w:t>
      </w:r>
    </w:p>
    <w:p w14:paraId="221A617C" w14:textId="77777777" w:rsidR="008B3612" w:rsidRDefault="008B3612" w:rsidP="003834B4">
      <w:pPr>
        <w:pStyle w:val="MediumGrid21"/>
        <w:jc w:val="both"/>
        <w:rPr>
          <w:rFonts w:ascii="Calibri" w:hAnsi="Calibri"/>
          <w:b/>
          <w:sz w:val="24"/>
          <w:szCs w:val="24"/>
        </w:rPr>
      </w:pPr>
    </w:p>
    <w:p w14:paraId="691A97F4" w14:textId="77777777" w:rsidR="008B3612" w:rsidRDefault="008B3612" w:rsidP="003834B4">
      <w:pPr>
        <w:pStyle w:val="MediumGrid21"/>
        <w:jc w:val="both"/>
        <w:rPr>
          <w:rFonts w:ascii="Calibri" w:hAnsi="Calibri"/>
          <w:b/>
          <w:sz w:val="24"/>
          <w:szCs w:val="24"/>
        </w:rPr>
      </w:pPr>
    </w:p>
    <w:p w14:paraId="3C44578A" w14:textId="77777777" w:rsidR="008B3612" w:rsidRDefault="008B3612" w:rsidP="003834B4">
      <w:pPr>
        <w:pStyle w:val="MediumGrid21"/>
        <w:jc w:val="both"/>
        <w:rPr>
          <w:rFonts w:ascii="Calibri" w:hAnsi="Calibri"/>
          <w:b/>
          <w:sz w:val="24"/>
          <w:szCs w:val="24"/>
        </w:rPr>
      </w:pPr>
    </w:p>
    <w:p w14:paraId="24DF1231" w14:textId="77777777" w:rsidR="008B3612" w:rsidRDefault="008B3612" w:rsidP="003834B4">
      <w:pPr>
        <w:pStyle w:val="MediumGrid21"/>
        <w:jc w:val="both"/>
        <w:rPr>
          <w:rFonts w:ascii="Calibri" w:hAnsi="Calibri"/>
          <w:b/>
          <w:sz w:val="24"/>
          <w:szCs w:val="24"/>
        </w:rPr>
      </w:pPr>
    </w:p>
    <w:p w14:paraId="1CC9991A" w14:textId="77777777" w:rsidR="00501379" w:rsidRPr="000D3CE9" w:rsidRDefault="000D3CE9" w:rsidP="000D3CE9">
      <w:pPr>
        <w:pStyle w:val="Heading2"/>
      </w:pPr>
      <w:r>
        <w:t xml:space="preserve">III. </w:t>
      </w:r>
      <w:r w:rsidR="004748A1">
        <w:t>Eligible Uses of Capital Funds</w:t>
      </w:r>
    </w:p>
    <w:p w14:paraId="7D032FDE" w14:textId="77777777" w:rsidR="004748A1" w:rsidRPr="004748A1" w:rsidRDefault="004748A1" w:rsidP="004748A1">
      <w:pPr>
        <w:pStyle w:val="MediumGrid21"/>
        <w:jc w:val="both"/>
        <w:rPr>
          <w:rFonts w:ascii="Calibri" w:hAnsi="Calibri"/>
          <w:sz w:val="24"/>
          <w:szCs w:val="24"/>
        </w:rPr>
      </w:pPr>
      <w:r w:rsidRPr="004748A1">
        <w:rPr>
          <w:rFonts w:ascii="Calibri" w:hAnsi="Calibri"/>
          <w:sz w:val="24"/>
          <w:szCs w:val="24"/>
        </w:rPr>
        <w:t xml:space="preserve">The following is general guidance for determining whether certain categories of activities and expenses may be appropriate for a capital project. </w:t>
      </w:r>
    </w:p>
    <w:p w14:paraId="7E50450A" w14:textId="77777777" w:rsidR="004748A1" w:rsidRPr="004748A1" w:rsidRDefault="004748A1" w:rsidP="004748A1">
      <w:pPr>
        <w:pStyle w:val="MediumGrid21"/>
        <w:jc w:val="both"/>
        <w:rPr>
          <w:rFonts w:ascii="Calibri" w:hAnsi="Calibri"/>
          <w:sz w:val="24"/>
          <w:szCs w:val="24"/>
        </w:rPr>
      </w:pPr>
    </w:p>
    <w:p w14:paraId="68759853" w14:textId="77777777" w:rsidR="004748A1" w:rsidRPr="004748A1" w:rsidRDefault="004748A1" w:rsidP="00122FDB">
      <w:pPr>
        <w:pStyle w:val="MediumGrid21"/>
        <w:numPr>
          <w:ilvl w:val="0"/>
          <w:numId w:val="8"/>
        </w:numPr>
        <w:ind w:left="720" w:hanging="360"/>
        <w:jc w:val="both"/>
        <w:rPr>
          <w:rFonts w:ascii="Calibri" w:hAnsi="Calibri"/>
          <w:sz w:val="24"/>
          <w:szCs w:val="24"/>
        </w:rPr>
      </w:pPr>
      <w:r w:rsidRPr="004748A1">
        <w:rPr>
          <w:rFonts w:ascii="Calibri" w:hAnsi="Calibri"/>
          <w:sz w:val="24"/>
          <w:szCs w:val="24"/>
        </w:rPr>
        <w:t>Acquisition of equipment/assets</w:t>
      </w:r>
    </w:p>
    <w:p w14:paraId="0261A68F" w14:textId="77777777" w:rsidR="004748A1" w:rsidRPr="004748A1" w:rsidRDefault="004748A1" w:rsidP="00122FDB">
      <w:pPr>
        <w:pStyle w:val="MediumGrid21"/>
        <w:numPr>
          <w:ilvl w:val="1"/>
          <w:numId w:val="8"/>
        </w:numPr>
        <w:ind w:left="1440" w:hanging="360"/>
        <w:jc w:val="both"/>
        <w:rPr>
          <w:rFonts w:ascii="Calibri" w:hAnsi="Calibri"/>
          <w:sz w:val="24"/>
          <w:szCs w:val="24"/>
        </w:rPr>
      </w:pPr>
      <w:r w:rsidRPr="004748A1">
        <w:rPr>
          <w:rFonts w:ascii="Calibri" w:hAnsi="Calibri"/>
          <w:sz w:val="24"/>
          <w:szCs w:val="24"/>
        </w:rPr>
        <w:t>Costs associated with the acquisition of equipment or assets with a useful life of more than one year and a unit cost equal or greater than $5,000 are eligible capital expenses</w:t>
      </w:r>
    </w:p>
    <w:p w14:paraId="773F7FD5" w14:textId="77777777" w:rsidR="004748A1" w:rsidRPr="004748A1" w:rsidRDefault="004748A1" w:rsidP="00122FDB">
      <w:pPr>
        <w:pStyle w:val="MediumGrid21"/>
        <w:numPr>
          <w:ilvl w:val="1"/>
          <w:numId w:val="8"/>
        </w:numPr>
        <w:ind w:left="1440" w:hanging="360"/>
        <w:jc w:val="both"/>
        <w:rPr>
          <w:rFonts w:ascii="Calibri" w:hAnsi="Calibri"/>
          <w:sz w:val="24"/>
          <w:szCs w:val="24"/>
        </w:rPr>
      </w:pPr>
      <w:r w:rsidRPr="004748A1">
        <w:rPr>
          <w:rFonts w:ascii="Calibri" w:hAnsi="Calibri"/>
          <w:sz w:val="24"/>
          <w:szCs w:val="24"/>
        </w:rPr>
        <w:t>Costs associated with equipment or assets with a useful life of less than one year and/or a unit cost less than $5,000 may be eligible capital expenses on a case-by-case basis</w:t>
      </w:r>
    </w:p>
    <w:p w14:paraId="5A17FDF3" w14:textId="77777777" w:rsidR="004748A1" w:rsidRPr="004748A1" w:rsidRDefault="004748A1" w:rsidP="00122FDB">
      <w:pPr>
        <w:pStyle w:val="MediumGrid21"/>
        <w:numPr>
          <w:ilvl w:val="1"/>
          <w:numId w:val="8"/>
        </w:numPr>
        <w:ind w:left="1440" w:hanging="360"/>
        <w:jc w:val="both"/>
        <w:rPr>
          <w:rFonts w:ascii="Calibri" w:hAnsi="Calibri"/>
          <w:sz w:val="24"/>
          <w:szCs w:val="24"/>
        </w:rPr>
      </w:pPr>
      <w:r w:rsidRPr="004748A1">
        <w:rPr>
          <w:rFonts w:ascii="Calibri" w:hAnsi="Calibri"/>
          <w:sz w:val="24"/>
          <w:szCs w:val="24"/>
        </w:rPr>
        <w:t>Generally, if equipment with a unit cost less than $5,000 is part of a larger program of capital renovation, renewal, or rebuilding, the acquisition and related costs of the equipment may be an eligible capital expense</w:t>
      </w:r>
    </w:p>
    <w:p w14:paraId="65762F83" w14:textId="77777777" w:rsidR="004748A1" w:rsidRDefault="004748A1" w:rsidP="00122FDB">
      <w:pPr>
        <w:pStyle w:val="MediumGrid21"/>
        <w:numPr>
          <w:ilvl w:val="1"/>
          <w:numId w:val="8"/>
        </w:numPr>
        <w:ind w:left="1440" w:hanging="360"/>
        <w:jc w:val="both"/>
        <w:rPr>
          <w:rFonts w:ascii="Calibri" w:hAnsi="Calibri"/>
          <w:sz w:val="24"/>
          <w:szCs w:val="24"/>
        </w:rPr>
      </w:pPr>
      <w:r w:rsidRPr="004748A1">
        <w:rPr>
          <w:rFonts w:ascii="Calibri" w:hAnsi="Calibri"/>
          <w:sz w:val="24"/>
          <w:szCs w:val="24"/>
        </w:rPr>
        <w:t>Examples of eligible capital expenses: new subway cars;  new signal equipment (if part of larger program)</w:t>
      </w:r>
    </w:p>
    <w:p w14:paraId="0209A570" w14:textId="77777777" w:rsidR="004748A1" w:rsidRPr="004748A1" w:rsidRDefault="004748A1" w:rsidP="004748A1">
      <w:pPr>
        <w:pStyle w:val="MediumGrid21"/>
        <w:jc w:val="both"/>
        <w:rPr>
          <w:rFonts w:ascii="Calibri" w:hAnsi="Calibri"/>
          <w:sz w:val="24"/>
          <w:szCs w:val="24"/>
        </w:rPr>
      </w:pPr>
    </w:p>
    <w:p w14:paraId="471C5BEE" w14:textId="77777777" w:rsidR="004748A1" w:rsidRPr="004748A1" w:rsidRDefault="004748A1" w:rsidP="00122FDB">
      <w:pPr>
        <w:pStyle w:val="MediumGrid21"/>
        <w:numPr>
          <w:ilvl w:val="0"/>
          <w:numId w:val="8"/>
        </w:numPr>
        <w:ind w:left="720" w:hanging="360"/>
        <w:jc w:val="both"/>
        <w:rPr>
          <w:rFonts w:ascii="Calibri" w:hAnsi="Calibri"/>
          <w:sz w:val="24"/>
          <w:szCs w:val="24"/>
        </w:rPr>
      </w:pPr>
      <w:r w:rsidRPr="004748A1">
        <w:rPr>
          <w:rFonts w:ascii="Calibri" w:hAnsi="Calibri"/>
          <w:sz w:val="24"/>
          <w:szCs w:val="24"/>
        </w:rPr>
        <w:t>Renovations, renewals, or rebuilding of assets</w:t>
      </w:r>
    </w:p>
    <w:p w14:paraId="25FF93AE" w14:textId="77777777" w:rsidR="004748A1" w:rsidRPr="004748A1" w:rsidRDefault="004748A1" w:rsidP="00122FDB">
      <w:pPr>
        <w:pStyle w:val="MediumGrid21"/>
        <w:numPr>
          <w:ilvl w:val="1"/>
          <w:numId w:val="8"/>
        </w:numPr>
        <w:ind w:left="1530" w:hanging="360"/>
        <w:jc w:val="both"/>
        <w:rPr>
          <w:rFonts w:ascii="Calibri" w:hAnsi="Calibri"/>
          <w:sz w:val="24"/>
          <w:szCs w:val="24"/>
        </w:rPr>
      </w:pPr>
      <w:r w:rsidRPr="004748A1">
        <w:rPr>
          <w:rFonts w:ascii="Calibri" w:hAnsi="Calibri"/>
          <w:sz w:val="24"/>
          <w:szCs w:val="24"/>
        </w:rPr>
        <w:t xml:space="preserve">Costs associated with activities that extend the useful life of a capital asset through a program of renovation, renewal, or rebuilding are eligible capital expenses </w:t>
      </w:r>
    </w:p>
    <w:p w14:paraId="58D13900" w14:textId="77777777" w:rsidR="004748A1" w:rsidRDefault="004748A1" w:rsidP="00122FDB">
      <w:pPr>
        <w:pStyle w:val="MediumGrid21"/>
        <w:numPr>
          <w:ilvl w:val="1"/>
          <w:numId w:val="8"/>
        </w:numPr>
        <w:ind w:left="1530" w:hanging="360"/>
        <w:jc w:val="both"/>
        <w:rPr>
          <w:rFonts w:ascii="Calibri" w:hAnsi="Calibri"/>
          <w:sz w:val="24"/>
          <w:szCs w:val="24"/>
        </w:rPr>
      </w:pPr>
      <w:r w:rsidRPr="004748A1">
        <w:rPr>
          <w:rFonts w:ascii="Calibri" w:hAnsi="Calibri"/>
          <w:sz w:val="24"/>
          <w:szCs w:val="24"/>
        </w:rPr>
        <w:t>Examples of eligible capital expenses: mid-life vehicle overhauls; locomotive engine rebuilding; station renovation</w:t>
      </w:r>
    </w:p>
    <w:p w14:paraId="6D849714" w14:textId="77777777" w:rsidR="004748A1" w:rsidRPr="004748A1" w:rsidRDefault="004748A1" w:rsidP="004748A1">
      <w:pPr>
        <w:pStyle w:val="MediumGrid21"/>
        <w:jc w:val="both"/>
        <w:rPr>
          <w:rFonts w:ascii="Calibri" w:hAnsi="Calibri"/>
          <w:sz w:val="24"/>
          <w:szCs w:val="24"/>
        </w:rPr>
      </w:pPr>
    </w:p>
    <w:p w14:paraId="12A4D18E" w14:textId="77777777" w:rsidR="004748A1" w:rsidRPr="004748A1" w:rsidRDefault="004748A1" w:rsidP="00122FDB">
      <w:pPr>
        <w:pStyle w:val="MediumGrid21"/>
        <w:numPr>
          <w:ilvl w:val="0"/>
          <w:numId w:val="8"/>
        </w:numPr>
        <w:ind w:left="720" w:hanging="360"/>
        <w:jc w:val="both"/>
        <w:rPr>
          <w:rFonts w:ascii="Calibri" w:hAnsi="Calibri"/>
          <w:sz w:val="24"/>
          <w:szCs w:val="24"/>
        </w:rPr>
      </w:pPr>
      <w:r w:rsidRPr="004748A1">
        <w:rPr>
          <w:rFonts w:ascii="Calibri" w:hAnsi="Calibri"/>
          <w:sz w:val="24"/>
          <w:szCs w:val="24"/>
        </w:rPr>
        <w:t xml:space="preserve">Improvements to assets </w:t>
      </w:r>
    </w:p>
    <w:p w14:paraId="5807EEA7" w14:textId="77777777" w:rsidR="004748A1" w:rsidRPr="004748A1" w:rsidRDefault="004748A1" w:rsidP="00122FDB">
      <w:pPr>
        <w:pStyle w:val="MediumGrid21"/>
        <w:numPr>
          <w:ilvl w:val="1"/>
          <w:numId w:val="8"/>
        </w:numPr>
        <w:ind w:left="1440" w:hanging="360"/>
        <w:jc w:val="both"/>
        <w:rPr>
          <w:rFonts w:ascii="Calibri" w:hAnsi="Calibri"/>
          <w:sz w:val="24"/>
          <w:szCs w:val="24"/>
        </w:rPr>
      </w:pPr>
      <w:r w:rsidRPr="004748A1">
        <w:rPr>
          <w:rFonts w:ascii="Calibri" w:hAnsi="Calibri"/>
          <w:sz w:val="24"/>
          <w:szCs w:val="24"/>
        </w:rPr>
        <w:t xml:space="preserve">Costs associated with activities that add to or enhance the value of an asset are eligible capital expenses </w:t>
      </w:r>
    </w:p>
    <w:p w14:paraId="435B741B" w14:textId="77777777" w:rsidR="004748A1" w:rsidRDefault="004748A1" w:rsidP="00122FDB">
      <w:pPr>
        <w:pStyle w:val="MediumGrid21"/>
        <w:numPr>
          <w:ilvl w:val="1"/>
          <w:numId w:val="8"/>
        </w:numPr>
        <w:ind w:left="1440" w:hanging="360"/>
        <w:jc w:val="both"/>
        <w:rPr>
          <w:rFonts w:ascii="Calibri" w:hAnsi="Calibri"/>
          <w:sz w:val="24"/>
          <w:szCs w:val="24"/>
        </w:rPr>
      </w:pPr>
      <w:r w:rsidRPr="004748A1">
        <w:rPr>
          <w:rFonts w:ascii="Calibri" w:hAnsi="Calibri"/>
          <w:sz w:val="24"/>
          <w:szCs w:val="24"/>
        </w:rPr>
        <w:t xml:space="preserve">Examples of eligible capital expenses: installation of new station elevator; new vehicle HVAC systems  </w:t>
      </w:r>
    </w:p>
    <w:p w14:paraId="2681F7D1" w14:textId="77777777" w:rsidR="004748A1" w:rsidRPr="004748A1" w:rsidRDefault="004748A1" w:rsidP="004748A1">
      <w:pPr>
        <w:pStyle w:val="MediumGrid21"/>
        <w:jc w:val="both"/>
        <w:rPr>
          <w:rFonts w:ascii="Calibri" w:hAnsi="Calibri"/>
          <w:sz w:val="24"/>
          <w:szCs w:val="24"/>
        </w:rPr>
      </w:pPr>
    </w:p>
    <w:p w14:paraId="630CD5C1" w14:textId="77777777" w:rsidR="004748A1" w:rsidRPr="004748A1" w:rsidRDefault="004748A1" w:rsidP="00122FDB">
      <w:pPr>
        <w:pStyle w:val="MediumGrid21"/>
        <w:numPr>
          <w:ilvl w:val="0"/>
          <w:numId w:val="8"/>
        </w:numPr>
        <w:ind w:left="720" w:hanging="360"/>
        <w:jc w:val="both"/>
        <w:rPr>
          <w:rFonts w:ascii="Calibri" w:hAnsi="Calibri"/>
          <w:sz w:val="24"/>
          <w:szCs w:val="24"/>
        </w:rPr>
      </w:pPr>
      <w:r w:rsidRPr="004748A1">
        <w:rPr>
          <w:rFonts w:ascii="Calibri" w:hAnsi="Calibri"/>
          <w:sz w:val="24"/>
          <w:szCs w:val="24"/>
        </w:rPr>
        <w:t xml:space="preserve">Repair and maintenance </w:t>
      </w:r>
    </w:p>
    <w:p w14:paraId="7E713C3A" w14:textId="77777777" w:rsidR="004748A1" w:rsidRPr="004748A1" w:rsidRDefault="004748A1" w:rsidP="00122FDB">
      <w:pPr>
        <w:pStyle w:val="MediumGrid21"/>
        <w:numPr>
          <w:ilvl w:val="1"/>
          <w:numId w:val="8"/>
        </w:numPr>
        <w:ind w:left="1440" w:hanging="360"/>
        <w:jc w:val="both"/>
        <w:rPr>
          <w:rFonts w:ascii="Calibri" w:hAnsi="Calibri"/>
          <w:sz w:val="24"/>
          <w:szCs w:val="24"/>
        </w:rPr>
      </w:pPr>
      <w:r w:rsidRPr="004748A1">
        <w:rPr>
          <w:rFonts w:ascii="Calibri" w:hAnsi="Calibri"/>
          <w:sz w:val="24"/>
          <w:szCs w:val="24"/>
        </w:rPr>
        <w:t xml:space="preserve">Costs associated with general repair or preventative or routine maintenance activities prescribed by an manufacturer or other authority to allow a capital asset to reach its useful life are generally </w:t>
      </w:r>
      <w:r w:rsidRPr="004748A1">
        <w:rPr>
          <w:rFonts w:ascii="Calibri" w:hAnsi="Calibri"/>
          <w:b/>
          <w:sz w:val="24"/>
          <w:szCs w:val="24"/>
        </w:rPr>
        <w:t>not</w:t>
      </w:r>
      <w:r w:rsidRPr="004748A1">
        <w:rPr>
          <w:rFonts w:ascii="Calibri" w:hAnsi="Calibri"/>
          <w:sz w:val="24"/>
          <w:szCs w:val="24"/>
        </w:rPr>
        <w:t xml:space="preserve"> eligible capital expenses </w:t>
      </w:r>
    </w:p>
    <w:p w14:paraId="59208B95" w14:textId="77777777" w:rsidR="004748A1" w:rsidRPr="004748A1" w:rsidRDefault="004748A1" w:rsidP="00122FDB">
      <w:pPr>
        <w:pStyle w:val="MediumGrid21"/>
        <w:numPr>
          <w:ilvl w:val="1"/>
          <w:numId w:val="8"/>
        </w:numPr>
        <w:ind w:left="1440" w:hanging="360"/>
        <w:jc w:val="both"/>
        <w:rPr>
          <w:rFonts w:ascii="Calibri" w:hAnsi="Calibri"/>
          <w:sz w:val="24"/>
          <w:szCs w:val="24"/>
        </w:rPr>
      </w:pPr>
      <w:r w:rsidRPr="004748A1">
        <w:rPr>
          <w:rFonts w:ascii="Calibri" w:hAnsi="Calibri"/>
          <w:sz w:val="24"/>
          <w:szCs w:val="24"/>
        </w:rPr>
        <w:t xml:space="preserve">Costs for repair or maintenance activities that extend the useful life of a capital asset are generally eligible capital expenses </w:t>
      </w:r>
    </w:p>
    <w:p w14:paraId="5097BF8D" w14:textId="77777777" w:rsidR="004748A1" w:rsidRPr="004748A1" w:rsidRDefault="004748A1" w:rsidP="00122FDB">
      <w:pPr>
        <w:pStyle w:val="MediumGrid21"/>
        <w:numPr>
          <w:ilvl w:val="1"/>
          <w:numId w:val="8"/>
        </w:numPr>
        <w:ind w:left="1440" w:hanging="360"/>
        <w:jc w:val="both"/>
        <w:rPr>
          <w:rFonts w:ascii="Calibri" w:hAnsi="Calibri"/>
          <w:sz w:val="24"/>
          <w:szCs w:val="24"/>
        </w:rPr>
      </w:pPr>
      <w:r w:rsidRPr="004748A1">
        <w:rPr>
          <w:rFonts w:ascii="Calibri" w:hAnsi="Calibri"/>
          <w:sz w:val="24"/>
          <w:szCs w:val="24"/>
        </w:rPr>
        <w:t>Costs for repair or maintenance activities that do not extend the useful life of an asset but are not routine may be eligible for capital funding on a case-by-case basis</w:t>
      </w:r>
    </w:p>
    <w:p w14:paraId="689C57B1" w14:textId="77777777" w:rsidR="00122FDB" w:rsidRDefault="004748A1" w:rsidP="00122FDB">
      <w:pPr>
        <w:pStyle w:val="MediumGrid21"/>
        <w:numPr>
          <w:ilvl w:val="1"/>
          <w:numId w:val="8"/>
        </w:numPr>
        <w:ind w:left="1440" w:hanging="360"/>
        <w:jc w:val="both"/>
        <w:rPr>
          <w:rFonts w:ascii="Calibri" w:hAnsi="Calibri"/>
          <w:sz w:val="24"/>
          <w:szCs w:val="24"/>
        </w:rPr>
      </w:pPr>
      <w:r w:rsidRPr="004748A1">
        <w:rPr>
          <w:rFonts w:ascii="Calibri" w:hAnsi="Calibri"/>
          <w:sz w:val="24"/>
          <w:szCs w:val="24"/>
        </w:rPr>
        <w:t>Examples of eligible capital expenses: vehicle component replacement; repairs to assets beyond useful life; repairs to damaged vehicles or infrastructure</w:t>
      </w:r>
    </w:p>
    <w:p w14:paraId="50DD087A" w14:textId="77777777" w:rsidR="00122FDB" w:rsidRPr="00122FDB" w:rsidRDefault="00122FDB" w:rsidP="00122FDB">
      <w:pPr>
        <w:pStyle w:val="MediumGrid21"/>
        <w:jc w:val="both"/>
        <w:rPr>
          <w:rFonts w:ascii="Calibri" w:hAnsi="Calibri"/>
          <w:sz w:val="24"/>
          <w:szCs w:val="24"/>
        </w:rPr>
      </w:pPr>
    </w:p>
    <w:p w14:paraId="4A9B0EBB" w14:textId="77777777" w:rsidR="004748A1" w:rsidRPr="004748A1" w:rsidRDefault="004748A1" w:rsidP="00122FDB">
      <w:pPr>
        <w:pStyle w:val="MediumGrid21"/>
        <w:numPr>
          <w:ilvl w:val="0"/>
          <w:numId w:val="8"/>
        </w:numPr>
        <w:ind w:left="720" w:hanging="360"/>
        <w:jc w:val="both"/>
        <w:rPr>
          <w:rFonts w:ascii="Calibri" w:hAnsi="Calibri"/>
          <w:sz w:val="24"/>
          <w:szCs w:val="24"/>
        </w:rPr>
      </w:pPr>
      <w:r w:rsidRPr="004748A1">
        <w:rPr>
          <w:rFonts w:ascii="Calibri" w:hAnsi="Calibri"/>
          <w:sz w:val="24"/>
          <w:szCs w:val="24"/>
        </w:rPr>
        <w:t>Planning/design</w:t>
      </w:r>
    </w:p>
    <w:p w14:paraId="3990F0AE" w14:textId="77777777" w:rsidR="004748A1" w:rsidRPr="004748A1" w:rsidRDefault="004748A1" w:rsidP="00122FDB">
      <w:pPr>
        <w:pStyle w:val="MediumGrid21"/>
        <w:numPr>
          <w:ilvl w:val="1"/>
          <w:numId w:val="8"/>
        </w:numPr>
        <w:ind w:left="1440" w:hanging="360"/>
        <w:jc w:val="both"/>
        <w:rPr>
          <w:rFonts w:ascii="Calibri" w:hAnsi="Calibri"/>
          <w:sz w:val="24"/>
          <w:szCs w:val="24"/>
        </w:rPr>
      </w:pPr>
      <w:r w:rsidRPr="004748A1">
        <w:rPr>
          <w:rFonts w:ascii="Calibri" w:hAnsi="Calibri"/>
          <w:sz w:val="24"/>
          <w:szCs w:val="24"/>
        </w:rPr>
        <w:t>Costs for planning or design activities that precede the acquisition, construction, or improvement to a capital asset are eligible capital expenses</w:t>
      </w:r>
    </w:p>
    <w:p w14:paraId="086E0766" w14:textId="77777777" w:rsidR="004748A1" w:rsidRPr="004748A1" w:rsidRDefault="004748A1" w:rsidP="00122FDB">
      <w:pPr>
        <w:pStyle w:val="MediumGrid21"/>
        <w:numPr>
          <w:ilvl w:val="1"/>
          <w:numId w:val="8"/>
        </w:numPr>
        <w:ind w:left="1440" w:hanging="360"/>
        <w:jc w:val="both"/>
        <w:rPr>
          <w:rFonts w:ascii="Calibri" w:hAnsi="Calibri"/>
          <w:sz w:val="24"/>
          <w:szCs w:val="24"/>
        </w:rPr>
      </w:pPr>
      <w:r w:rsidRPr="004748A1">
        <w:rPr>
          <w:rFonts w:ascii="Calibri" w:hAnsi="Calibri"/>
          <w:sz w:val="24"/>
          <w:szCs w:val="24"/>
        </w:rPr>
        <w:t>Examples of eligible capital expenses: bridge design; facility condition assessment; development of vehicle specifications</w:t>
      </w:r>
    </w:p>
    <w:p w14:paraId="001E92C6" w14:textId="77777777" w:rsidR="00501379" w:rsidRDefault="00501379" w:rsidP="003834B4">
      <w:pPr>
        <w:pStyle w:val="MediumGrid21"/>
        <w:jc w:val="both"/>
        <w:rPr>
          <w:rFonts w:ascii="Calibri" w:hAnsi="Calibri"/>
          <w:sz w:val="24"/>
          <w:szCs w:val="24"/>
        </w:rPr>
      </w:pPr>
    </w:p>
    <w:p w14:paraId="2FF16AAE" w14:textId="77777777" w:rsidR="000D3CE9" w:rsidRDefault="000D3CE9" w:rsidP="000D3CE9">
      <w:pPr>
        <w:pStyle w:val="Heading2"/>
      </w:pPr>
      <w:r>
        <w:t>IV. Using Capital Funds for Payroll</w:t>
      </w:r>
    </w:p>
    <w:p w14:paraId="5B966A41" w14:textId="77777777" w:rsidR="000D3CE9" w:rsidRPr="000D3CE9" w:rsidRDefault="000D3CE9" w:rsidP="000D3CE9">
      <w:pPr>
        <w:pStyle w:val="ListParagraph"/>
        <w:ind w:left="0"/>
        <w:rPr>
          <w:rFonts w:asciiTheme="minorHAnsi" w:hAnsiTheme="minorHAnsi"/>
          <w:sz w:val="24"/>
        </w:rPr>
      </w:pPr>
      <w:r w:rsidRPr="000D3CE9">
        <w:rPr>
          <w:rFonts w:asciiTheme="minorHAnsi" w:hAnsiTheme="minorHAnsi"/>
          <w:sz w:val="24"/>
        </w:rPr>
        <w:t>All MBTA payroll expenses (e.g. salaries, benefits, and overtime) shall be charged to the operating budget, with the following exceptions that are consistent with generally accepted accounting principles and Federal law, guidance, and reporting requirements:</w:t>
      </w:r>
    </w:p>
    <w:p w14:paraId="34772E0F" w14:textId="77777777" w:rsidR="000D3CE9" w:rsidRPr="000D3CE9" w:rsidRDefault="000D3CE9" w:rsidP="000D3CE9">
      <w:pPr>
        <w:pStyle w:val="ListParagraph"/>
        <w:numPr>
          <w:ilvl w:val="1"/>
          <w:numId w:val="9"/>
        </w:numPr>
        <w:spacing w:after="0" w:line="240" w:lineRule="auto"/>
        <w:ind w:left="720"/>
        <w:rPr>
          <w:rFonts w:asciiTheme="minorHAnsi" w:hAnsiTheme="minorHAnsi"/>
          <w:i/>
          <w:sz w:val="24"/>
        </w:rPr>
      </w:pPr>
      <w:r w:rsidRPr="000D3CE9">
        <w:rPr>
          <w:rFonts w:asciiTheme="minorHAnsi" w:hAnsiTheme="minorHAnsi"/>
          <w:sz w:val="24"/>
        </w:rPr>
        <w:t xml:space="preserve">The salaries and benefits of full-time employees who work exclusively on developing and delivering capital projects may be allocated to capital projects as direct or indirect costs and paid through capital funding sources. </w:t>
      </w:r>
    </w:p>
    <w:p w14:paraId="5B2EC53F" w14:textId="2702317D" w:rsidR="000D3CE9" w:rsidRPr="000D3CE9" w:rsidRDefault="000D3CE9" w:rsidP="000D3CE9">
      <w:pPr>
        <w:pStyle w:val="ListParagraph"/>
        <w:numPr>
          <w:ilvl w:val="2"/>
          <w:numId w:val="10"/>
        </w:numPr>
        <w:spacing w:after="0" w:line="240" w:lineRule="auto"/>
        <w:ind w:left="1440" w:hanging="360"/>
        <w:rPr>
          <w:rFonts w:asciiTheme="minorHAnsi" w:hAnsiTheme="minorHAnsi"/>
          <w:sz w:val="24"/>
        </w:rPr>
      </w:pPr>
      <w:r w:rsidRPr="000D3CE9">
        <w:rPr>
          <w:rFonts w:asciiTheme="minorHAnsi" w:hAnsiTheme="minorHAnsi"/>
          <w:sz w:val="24"/>
        </w:rPr>
        <w:t xml:space="preserve">Departments with </w:t>
      </w:r>
      <w:r w:rsidRPr="000D3CE9">
        <w:rPr>
          <w:rFonts w:asciiTheme="minorHAnsi" w:hAnsiTheme="minorHAnsi"/>
          <w:b/>
          <w:sz w:val="24"/>
        </w:rPr>
        <w:t xml:space="preserve">all </w:t>
      </w:r>
      <w:r w:rsidRPr="000D3CE9">
        <w:rPr>
          <w:rFonts w:asciiTheme="minorHAnsi" w:hAnsiTheme="minorHAnsi"/>
          <w:sz w:val="24"/>
        </w:rPr>
        <w:t>employees working full-time on capital projects are:</w:t>
      </w:r>
    </w:p>
    <w:p w14:paraId="2C51ECE3" w14:textId="77777777" w:rsidR="000D3CE9" w:rsidRPr="000D3CE9" w:rsidRDefault="000D3CE9" w:rsidP="000D3CE9">
      <w:pPr>
        <w:pStyle w:val="ListParagraph"/>
        <w:numPr>
          <w:ilvl w:val="3"/>
          <w:numId w:val="10"/>
        </w:numPr>
        <w:spacing w:after="0" w:line="240" w:lineRule="auto"/>
        <w:ind w:left="2160"/>
        <w:rPr>
          <w:rFonts w:asciiTheme="minorHAnsi" w:hAnsiTheme="minorHAnsi"/>
          <w:sz w:val="24"/>
        </w:rPr>
      </w:pPr>
      <w:r w:rsidRPr="000D3CE9">
        <w:rPr>
          <w:rFonts w:asciiTheme="minorHAnsi" w:hAnsiTheme="minorHAnsi"/>
          <w:sz w:val="24"/>
        </w:rPr>
        <w:t>Capital Programs and Delivery (program development, project planning, design, construction, field inspection, logistics, finance and controls, and contract administration of capital construction projects)</w:t>
      </w:r>
    </w:p>
    <w:p w14:paraId="5DF982A0" w14:textId="77777777" w:rsidR="000D3CE9" w:rsidRPr="000D3CE9" w:rsidRDefault="000D3CE9" w:rsidP="000D3CE9">
      <w:pPr>
        <w:pStyle w:val="ListParagraph"/>
        <w:numPr>
          <w:ilvl w:val="3"/>
          <w:numId w:val="10"/>
        </w:numPr>
        <w:spacing w:after="0" w:line="240" w:lineRule="auto"/>
        <w:ind w:left="2160"/>
        <w:rPr>
          <w:rFonts w:asciiTheme="minorHAnsi" w:hAnsiTheme="minorHAnsi"/>
          <w:sz w:val="24"/>
        </w:rPr>
      </w:pPr>
      <w:r w:rsidRPr="000D3CE9">
        <w:rPr>
          <w:rFonts w:asciiTheme="minorHAnsi" w:hAnsiTheme="minorHAnsi"/>
          <w:sz w:val="24"/>
        </w:rPr>
        <w:t xml:space="preserve">Chief Engineer (assessment and management of capital assets; technical requirements, review, and approval for new capital projects) </w:t>
      </w:r>
    </w:p>
    <w:p w14:paraId="48151CE0" w14:textId="77777777" w:rsidR="000D3CE9" w:rsidRPr="000D3CE9" w:rsidRDefault="000D3CE9" w:rsidP="000D3CE9">
      <w:pPr>
        <w:pStyle w:val="ListParagraph"/>
        <w:numPr>
          <w:ilvl w:val="3"/>
          <w:numId w:val="10"/>
        </w:numPr>
        <w:spacing w:after="0" w:line="240" w:lineRule="auto"/>
        <w:ind w:left="2160"/>
        <w:rPr>
          <w:rFonts w:asciiTheme="minorHAnsi" w:hAnsiTheme="minorHAnsi"/>
          <w:sz w:val="24"/>
        </w:rPr>
      </w:pPr>
      <w:r w:rsidRPr="000D3CE9">
        <w:rPr>
          <w:rFonts w:asciiTheme="minorHAnsi" w:hAnsiTheme="minorHAnsi"/>
          <w:sz w:val="24"/>
        </w:rPr>
        <w:t>Vehicle Engineering (development and delivery of new vehicle procurements and overhauls)</w:t>
      </w:r>
    </w:p>
    <w:p w14:paraId="6D0194AA" w14:textId="20DB8736" w:rsidR="000D3CE9" w:rsidRPr="000D3CE9" w:rsidRDefault="000D3CE9" w:rsidP="000D3CE9">
      <w:pPr>
        <w:pStyle w:val="ListParagraph"/>
        <w:numPr>
          <w:ilvl w:val="2"/>
          <w:numId w:val="10"/>
        </w:numPr>
        <w:spacing w:after="0" w:line="240" w:lineRule="auto"/>
        <w:ind w:left="1530" w:hanging="360"/>
        <w:rPr>
          <w:rFonts w:asciiTheme="minorHAnsi" w:hAnsiTheme="minorHAnsi"/>
          <w:sz w:val="24"/>
        </w:rPr>
      </w:pPr>
      <w:r w:rsidRPr="000D3CE9">
        <w:rPr>
          <w:rFonts w:asciiTheme="minorHAnsi" w:hAnsiTheme="minorHAnsi"/>
          <w:sz w:val="24"/>
        </w:rPr>
        <w:t xml:space="preserve">Departments with </w:t>
      </w:r>
      <w:r w:rsidRPr="000D3CE9">
        <w:rPr>
          <w:rFonts w:asciiTheme="minorHAnsi" w:hAnsiTheme="minorHAnsi"/>
          <w:b/>
          <w:sz w:val="24"/>
        </w:rPr>
        <w:t>some</w:t>
      </w:r>
      <w:r w:rsidRPr="000D3CE9">
        <w:rPr>
          <w:rFonts w:asciiTheme="minorHAnsi" w:hAnsiTheme="minorHAnsi"/>
          <w:sz w:val="24"/>
        </w:rPr>
        <w:t xml:space="preserve"> employees working </w:t>
      </w:r>
      <w:r w:rsidR="00A016BD">
        <w:rPr>
          <w:rFonts w:asciiTheme="minorHAnsi" w:hAnsiTheme="minorHAnsi"/>
          <w:sz w:val="24"/>
        </w:rPr>
        <w:t xml:space="preserve">either </w:t>
      </w:r>
      <w:r w:rsidRPr="000D3CE9">
        <w:rPr>
          <w:rFonts w:asciiTheme="minorHAnsi" w:hAnsiTheme="minorHAnsi"/>
          <w:sz w:val="24"/>
        </w:rPr>
        <w:t xml:space="preserve">full-time </w:t>
      </w:r>
      <w:r w:rsidR="00A016BD">
        <w:rPr>
          <w:rFonts w:asciiTheme="minorHAnsi" w:hAnsiTheme="minorHAnsi"/>
          <w:sz w:val="24"/>
        </w:rPr>
        <w:t xml:space="preserve">or part-time </w:t>
      </w:r>
      <w:r w:rsidRPr="000D3CE9">
        <w:rPr>
          <w:rFonts w:asciiTheme="minorHAnsi" w:hAnsiTheme="minorHAnsi"/>
          <w:sz w:val="24"/>
        </w:rPr>
        <w:t>on capital projects are:</w:t>
      </w:r>
    </w:p>
    <w:p w14:paraId="70B12F0C" w14:textId="658022BE" w:rsidR="000D3CE9" w:rsidRPr="000D3CE9" w:rsidRDefault="000D3CE9" w:rsidP="000D3CE9">
      <w:pPr>
        <w:pStyle w:val="ListParagraph"/>
        <w:numPr>
          <w:ilvl w:val="3"/>
          <w:numId w:val="10"/>
        </w:numPr>
        <w:spacing w:after="0" w:line="240" w:lineRule="auto"/>
        <w:ind w:left="2160"/>
        <w:rPr>
          <w:rFonts w:asciiTheme="minorHAnsi" w:hAnsiTheme="minorHAnsi"/>
          <w:i/>
          <w:sz w:val="24"/>
        </w:rPr>
      </w:pPr>
      <w:r w:rsidRPr="000D3CE9">
        <w:rPr>
          <w:rFonts w:asciiTheme="minorHAnsi" w:hAnsiTheme="minorHAnsi"/>
          <w:sz w:val="24"/>
        </w:rPr>
        <w:t>Engineering and Maintenance (support to capital projects through Power</w:t>
      </w:r>
      <w:r w:rsidR="00523519">
        <w:rPr>
          <w:rFonts w:asciiTheme="minorHAnsi" w:hAnsiTheme="minorHAnsi"/>
          <w:sz w:val="24"/>
        </w:rPr>
        <w:t xml:space="preserve"> Systems Maintenance</w:t>
      </w:r>
      <w:r w:rsidRPr="000D3CE9">
        <w:rPr>
          <w:rFonts w:asciiTheme="minorHAnsi" w:hAnsiTheme="minorHAnsi"/>
          <w:sz w:val="24"/>
        </w:rPr>
        <w:t>, Signals</w:t>
      </w:r>
      <w:r w:rsidR="00523519">
        <w:rPr>
          <w:rFonts w:asciiTheme="minorHAnsi" w:hAnsiTheme="minorHAnsi"/>
          <w:sz w:val="24"/>
        </w:rPr>
        <w:t xml:space="preserve"> and Communication Maintenance</w:t>
      </w:r>
      <w:r w:rsidRPr="000D3CE9">
        <w:rPr>
          <w:rFonts w:asciiTheme="minorHAnsi" w:hAnsiTheme="minorHAnsi"/>
          <w:sz w:val="24"/>
        </w:rPr>
        <w:t>, Maintenance of Way, and Transit Facilities Maintenance employees)</w:t>
      </w:r>
    </w:p>
    <w:p w14:paraId="5866D1C6" w14:textId="77777777" w:rsidR="000D3CE9" w:rsidRPr="000D3CE9" w:rsidRDefault="000D3CE9" w:rsidP="000D3CE9">
      <w:pPr>
        <w:pStyle w:val="ListParagraph"/>
        <w:numPr>
          <w:ilvl w:val="3"/>
          <w:numId w:val="10"/>
        </w:numPr>
        <w:spacing w:after="0" w:line="240" w:lineRule="auto"/>
        <w:ind w:left="2160"/>
        <w:rPr>
          <w:rFonts w:asciiTheme="minorHAnsi" w:hAnsiTheme="minorHAnsi"/>
          <w:i/>
          <w:sz w:val="24"/>
        </w:rPr>
      </w:pPr>
      <w:r w:rsidRPr="000D3CE9">
        <w:rPr>
          <w:rFonts w:asciiTheme="minorHAnsi" w:hAnsiTheme="minorHAnsi"/>
          <w:sz w:val="24"/>
        </w:rPr>
        <w:t xml:space="preserve">Rail Maintenance (capital improvements to rail vehicles occurring within MBTA facilities)   </w:t>
      </w:r>
    </w:p>
    <w:p w14:paraId="7B8A80DA" w14:textId="77777777" w:rsidR="000D3CE9" w:rsidRPr="000D3CE9" w:rsidRDefault="000D3CE9" w:rsidP="000D3CE9">
      <w:pPr>
        <w:pStyle w:val="ListParagraph"/>
        <w:numPr>
          <w:ilvl w:val="3"/>
          <w:numId w:val="10"/>
        </w:numPr>
        <w:spacing w:after="0" w:line="240" w:lineRule="auto"/>
        <w:ind w:left="2160"/>
        <w:rPr>
          <w:rFonts w:asciiTheme="minorHAnsi" w:hAnsiTheme="minorHAnsi"/>
          <w:i/>
          <w:sz w:val="24"/>
        </w:rPr>
      </w:pPr>
      <w:r w:rsidRPr="000D3CE9">
        <w:rPr>
          <w:rFonts w:asciiTheme="minorHAnsi" w:hAnsiTheme="minorHAnsi"/>
          <w:sz w:val="24"/>
        </w:rPr>
        <w:t xml:space="preserve">Bus Maintenance (capital improvements to bus vehicles occurring within MBTA facilities) </w:t>
      </w:r>
    </w:p>
    <w:p w14:paraId="0B7E28EE" w14:textId="5AEFCDEA" w:rsidR="000D3CE9" w:rsidRPr="000D3CE9" w:rsidRDefault="00A016BD" w:rsidP="000D3CE9">
      <w:pPr>
        <w:pStyle w:val="ListParagraph"/>
        <w:numPr>
          <w:ilvl w:val="3"/>
          <w:numId w:val="10"/>
        </w:numPr>
        <w:spacing w:after="0" w:line="240" w:lineRule="auto"/>
        <w:ind w:left="2160"/>
        <w:rPr>
          <w:rFonts w:asciiTheme="minorHAnsi" w:hAnsiTheme="minorHAnsi"/>
          <w:i/>
          <w:sz w:val="24"/>
        </w:rPr>
      </w:pPr>
      <w:r>
        <w:rPr>
          <w:rFonts w:asciiTheme="minorHAnsi" w:hAnsiTheme="minorHAnsi"/>
          <w:sz w:val="24"/>
        </w:rPr>
        <w:t xml:space="preserve">Subway Operations and </w:t>
      </w:r>
      <w:r w:rsidR="000D3CE9" w:rsidRPr="000D3CE9">
        <w:rPr>
          <w:rFonts w:asciiTheme="minorHAnsi" w:hAnsiTheme="minorHAnsi"/>
          <w:sz w:val="24"/>
        </w:rPr>
        <w:t>Bus Transportation (support to capital projects through bus diversions)</w:t>
      </w:r>
    </w:p>
    <w:p w14:paraId="01F4DE26" w14:textId="77777777" w:rsidR="000D3CE9" w:rsidRPr="000D3CE9" w:rsidRDefault="000D3CE9" w:rsidP="000D3CE9">
      <w:pPr>
        <w:spacing w:after="0" w:line="240" w:lineRule="auto"/>
        <w:rPr>
          <w:rFonts w:asciiTheme="minorHAnsi" w:hAnsiTheme="minorHAnsi"/>
          <w:i/>
          <w:sz w:val="24"/>
        </w:rPr>
      </w:pPr>
    </w:p>
    <w:p w14:paraId="29FB0750" w14:textId="1CEE2269" w:rsidR="000D3CE9" w:rsidRPr="000D3CE9" w:rsidRDefault="000D3CE9" w:rsidP="000D3CE9">
      <w:pPr>
        <w:pStyle w:val="ListParagraph"/>
        <w:numPr>
          <w:ilvl w:val="1"/>
          <w:numId w:val="9"/>
        </w:numPr>
        <w:spacing w:after="0" w:line="240" w:lineRule="auto"/>
        <w:ind w:left="720"/>
        <w:rPr>
          <w:rFonts w:asciiTheme="minorHAnsi" w:hAnsiTheme="minorHAnsi"/>
          <w:i/>
          <w:sz w:val="24"/>
        </w:rPr>
      </w:pPr>
      <w:r w:rsidRPr="000D3CE9">
        <w:rPr>
          <w:rFonts w:asciiTheme="minorHAnsi" w:hAnsiTheme="minorHAnsi"/>
          <w:sz w:val="24"/>
        </w:rPr>
        <w:t xml:space="preserve">Overtime incurred by employees in support of delivering capital projects may be included in a capital project’s budget as Force Account and paid through the same capital funding source or sources.  </w:t>
      </w:r>
    </w:p>
    <w:p w14:paraId="1E5441B0" w14:textId="77777777" w:rsidR="000D3CE9" w:rsidRPr="000D3CE9" w:rsidRDefault="000D3CE9" w:rsidP="000D3CE9">
      <w:pPr>
        <w:pStyle w:val="ListParagraph"/>
        <w:spacing w:after="0" w:line="240" w:lineRule="auto"/>
        <w:rPr>
          <w:rFonts w:asciiTheme="minorHAnsi" w:hAnsiTheme="minorHAnsi"/>
          <w:i/>
          <w:sz w:val="24"/>
        </w:rPr>
      </w:pPr>
    </w:p>
    <w:p w14:paraId="2168BB35" w14:textId="77777777" w:rsidR="000D3CE9" w:rsidRPr="000D3CE9" w:rsidRDefault="000D3CE9" w:rsidP="000D3CE9">
      <w:pPr>
        <w:pStyle w:val="ListParagraph"/>
        <w:numPr>
          <w:ilvl w:val="1"/>
          <w:numId w:val="9"/>
        </w:numPr>
        <w:spacing w:after="0" w:line="240" w:lineRule="auto"/>
        <w:ind w:left="720"/>
        <w:rPr>
          <w:rFonts w:asciiTheme="minorHAnsi" w:hAnsiTheme="minorHAnsi"/>
          <w:sz w:val="24"/>
        </w:rPr>
      </w:pPr>
      <w:r w:rsidRPr="000D3CE9">
        <w:rPr>
          <w:rFonts w:asciiTheme="minorHAnsi" w:hAnsiTheme="minorHAnsi"/>
          <w:sz w:val="24"/>
        </w:rPr>
        <w:t xml:space="preserve">Exceptions to this policy may only be made with the approval of the Chief Financial Officer. </w:t>
      </w:r>
    </w:p>
    <w:p w14:paraId="49E2918E" w14:textId="77777777" w:rsidR="000D3CE9" w:rsidRDefault="000D3CE9" w:rsidP="000D3CE9">
      <w:pPr>
        <w:rPr>
          <w:i/>
        </w:rPr>
      </w:pPr>
    </w:p>
    <w:p w14:paraId="13F6E25C" w14:textId="77777777" w:rsidR="00501379" w:rsidRDefault="00122FDB" w:rsidP="00122FDB">
      <w:pPr>
        <w:pStyle w:val="Heading2"/>
      </w:pPr>
      <w:r>
        <w:lastRenderedPageBreak/>
        <w:t>V. U</w:t>
      </w:r>
      <w:r w:rsidRPr="00122FDB">
        <w:t>se of Bond Proceeds for Employee Salaries</w:t>
      </w:r>
    </w:p>
    <w:p w14:paraId="3866C1AB" w14:textId="1A31530B" w:rsidR="00122FDB" w:rsidRDefault="00122FDB">
      <w:pPr>
        <w:pStyle w:val="MediumGrid21"/>
        <w:jc w:val="both"/>
        <w:rPr>
          <w:rFonts w:ascii="Calibri" w:hAnsi="Calibri"/>
          <w:sz w:val="24"/>
          <w:szCs w:val="24"/>
        </w:rPr>
      </w:pPr>
      <w:r w:rsidRPr="00122FDB">
        <w:rPr>
          <w:rFonts w:ascii="Calibri" w:hAnsi="Calibri"/>
          <w:sz w:val="24"/>
          <w:szCs w:val="24"/>
        </w:rPr>
        <w:t>Bond proceeds may not be used to pay MBTA employee salaries</w:t>
      </w:r>
      <w:r w:rsidR="00F603E4">
        <w:rPr>
          <w:rFonts w:ascii="Calibri" w:hAnsi="Calibri"/>
          <w:sz w:val="24"/>
          <w:szCs w:val="24"/>
        </w:rPr>
        <w:t>.</w:t>
      </w:r>
      <w:r w:rsidRPr="00122FDB">
        <w:rPr>
          <w:rFonts w:ascii="Calibri" w:hAnsi="Calibri"/>
          <w:sz w:val="24"/>
          <w:szCs w:val="24"/>
        </w:rPr>
        <w:t xml:space="preserve"> </w:t>
      </w:r>
    </w:p>
    <w:p w14:paraId="59208460" w14:textId="77777777" w:rsidR="00122FDB" w:rsidRDefault="00122FDB" w:rsidP="00122FDB">
      <w:pPr>
        <w:pStyle w:val="MediumGrid21"/>
        <w:jc w:val="both"/>
        <w:rPr>
          <w:rFonts w:ascii="Calibri" w:hAnsi="Calibri"/>
          <w:sz w:val="24"/>
          <w:szCs w:val="24"/>
        </w:rPr>
      </w:pPr>
    </w:p>
    <w:p w14:paraId="4F834D1C" w14:textId="77777777" w:rsidR="00122FDB" w:rsidRDefault="00122FDB" w:rsidP="00122FDB">
      <w:pPr>
        <w:pStyle w:val="Heading2"/>
      </w:pPr>
      <w:r>
        <w:t>VI. Direct and Indirect Costs</w:t>
      </w:r>
    </w:p>
    <w:p w14:paraId="7B321D22" w14:textId="6ABC5B2A" w:rsidR="00122FDB" w:rsidRPr="00122FDB" w:rsidRDefault="00122FDB" w:rsidP="00122FDB">
      <w:pPr>
        <w:rPr>
          <w:rFonts w:asciiTheme="minorHAnsi" w:hAnsiTheme="minorHAnsi"/>
          <w:sz w:val="24"/>
        </w:rPr>
      </w:pPr>
      <w:r w:rsidRPr="00122FDB">
        <w:rPr>
          <w:rFonts w:asciiTheme="minorHAnsi" w:hAnsiTheme="minorHAnsi"/>
          <w:sz w:val="24"/>
        </w:rPr>
        <w:t>Employee salaries and benefits paid from capital funding sources shall be allocated to specific capital projects. Charges will be applied as either direct or indirect costs in accordance with federal guidelines and in accordance with the MBTA’s Cost Allocation Plan</w:t>
      </w:r>
      <w:r w:rsidR="00B07579">
        <w:rPr>
          <w:rFonts w:asciiTheme="minorHAnsi" w:hAnsiTheme="minorHAnsi"/>
          <w:sz w:val="24"/>
        </w:rPr>
        <w:t xml:space="preserve"> </w:t>
      </w:r>
      <w:r w:rsidRPr="00122FDB">
        <w:rPr>
          <w:rFonts w:asciiTheme="minorHAnsi" w:hAnsiTheme="minorHAnsi"/>
          <w:sz w:val="24"/>
        </w:rPr>
        <w:t>generally defined as:</w:t>
      </w:r>
    </w:p>
    <w:p w14:paraId="4C94AC1E" w14:textId="77777777" w:rsidR="00122FDB" w:rsidRDefault="00122FDB" w:rsidP="00122FDB">
      <w:pPr>
        <w:pStyle w:val="ListParagraph"/>
        <w:numPr>
          <w:ilvl w:val="0"/>
          <w:numId w:val="12"/>
        </w:numPr>
        <w:spacing w:after="0" w:line="240" w:lineRule="auto"/>
        <w:ind w:left="720" w:hanging="360"/>
        <w:rPr>
          <w:rFonts w:asciiTheme="minorHAnsi" w:hAnsiTheme="minorHAnsi"/>
          <w:sz w:val="24"/>
        </w:rPr>
      </w:pPr>
      <w:r w:rsidRPr="00122FDB">
        <w:rPr>
          <w:rFonts w:asciiTheme="minorHAnsi" w:hAnsiTheme="minorHAnsi"/>
          <w:sz w:val="24"/>
        </w:rPr>
        <w:t>Direct Costs</w:t>
      </w:r>
    </w:p>
    <w:p w14:paraId="7E9BE405" w14:textId="77777777" w:rsidR="00122FDB" w:rsidRDefault="00122FDB" w:rsidP="00122FDB">
      <w:pPr>
        <w:pStyle w:val="ListParagraph"/>
        <w:numPr>
          <w:ilvl w:val="1"/>
          <w:numId w:val="12"/>
        </w:numPr>
        <w:spacing w:after="0" w:line="240" w:lineRule="auto"/>
        <w:rPr>
          <w:rFonts w:asciiTheme="minorHAnsi" w:hAnsiTheme="minorHAnsi"/>
          <w:sz w:val="24"/>
        </w:rPr>
      </w:pPr>
      <w:r w:rsidRPr="00122FDB">
        <w:rPr>
          <w:rFonts w:asciiTheme="minorHAnsi" w:hAnsiTheme="minorHAnsi"/>
          <w:sz w:val="24"/>
        </w:rPr>
        <w:t>Can be identified specifically with a particular grant, award, project, contract or other cost object and can be charged on an item-by-item basis.</w:t>
      </w:r>
    </w:p>
    <w:p w14:paraId="3D878DF3" w14:textId="77777777" w:rsidR="00122FDB" w:rsidRPr="00122FDB" w:rsidRDefault="00122FDB" w:rsidP="00122FDB">
      <w:pPr>
        <w:spacing w:after="0" w:line="240" w:lineRule="auto"/>
        <w:rPr>
          <w:rFonts w:asciiTheme="minorHAnsi" w:hAnsiTheme="minorHAnsi"/>
          <w:sz w:val="24"/>
        </w:rPr>
      </w:pPr>
    </w:p>
    <w:p w14:paraId="145D801E" w14:textId="77777777" w:rsidR="00122FDB" w:rsidRDefault="00122FDB" w:rsidP="00122FDB">
      <w:pPr>
        <w:pStyle w:val="ListParagraph"/>
        <w:numPr>
          <w:ilvl w:val="0"/>
          <w:numId w:val="12"/>
        </w:numPr>
        <w:spacing w:after="0" w:line="240" w:lineRule="auto"/>
        <w:ind w:left="720" w:hanging="360"/>
        <w:rPr>
          <w:rFonts w:asciiTheme="minorHAnsi" w:hAnsiTheme="minorHAnsi"/>
          <w:sz w:val="24"/>
        </w:rPr>
      </w:pPr>
      <w:r w:rsidRPr="00122FDB">
        <w:rPr>
          <w:rFonts w:asciiTheme="minorHAnsi" w:hAnsiTheme="minorHAnsi"/>
          <w:sz w:val="24"/>
        </w:rPr>
        <w:t>Indirect Costs</w:t>
      </w:r>
    </w:p>
    <w:p w14:paraId="6208B465" w14:textId="27E8536D" w:rsidR="00122FDB" w:rsidRDefault="00122FDB" w:rsidP="00122FDB">
      <w:pPr>
        <w:pStyle w:val="ListParagraph"/>
        <w:numPr>
          <w:ilvl w:val="1"/>
          <w:numId w:val="12"/>
        </w:numPr>
        <w:spacing w:after="0" w:line="240" w:lineRule="auto"/>
        <w:rPr>
          <w:rFonts w:asciiTheme="minorHAnsi" w:hAnsiTheme="minorHAnsi"/>
          <w:sz w:val="24"/>
        </w:rPr>
      </w:pPr>
      <w:r w:rsidRPr="00122FDB">
        <w:rPr>
          <w:rFonts w:asciiTheme="minorHAnsi" w:hAnsiTheme="minorHAnsi"/>
          <w:sz w:val="24"/>
        </w:rPr>
        <w:t>Costs that have been incurred for common objectives but cannot be readily identified with a particular grant</w:t>
      </w:r>
      <w:r w:rsidR="00CF62C2">
        <w:rPr>
          <w:rFonts w:asciiTheme="minorHAnsi" w:hAnsiTheme="minorHAnsi"/>
          <w:sz w:val="24"/>
        </w:rPr>
        <w:t>, award, project, contract or other cost object</w:t>
      </w:r>
    </w:p>
    <w:p w14:paraId="02FD7B0F" w14:textId="77777777" w:rsidR="00122FDB" w:rsidRDefault="00122FDB" w:rsidP="00122FDB">
      <w:pPr>
        <w:pStyle w:val="ListParagraph"/>
        <w:numPr>
          <w:ilvl w:val="1"/>
          <w:numId w:val="12"/>
        </w:numPr>
        <w:spacing w:after="0" w:line="240" w:lineRule="auto"/>
        <w:rPr>
          <w:rFonts w:asciiTheme="minorHAnsi" w:hAnsiTheme="minorHAnsi"/>
          <w:sz w:val="24"/>
        </w:rPr>
      </w:pPr>
      <w:r w:rsidRPr="00122FDB">
        <w:rPr>
          <w:rFonts w:asciiTheme="minorHAnsi" w:hAnsiTheme="minorHAnsi"/>
          <w:sz w:val="24"/>
        </w:rPr>
        <w:t>Direct costs of minor amounts may be treated as indirect.</w:t>
      </w:r>
    </w:p>
    <w:p w14:paraId="5166A54C" w14:textId="77777777" w:rsidR="00122FDB" w:rsidRDefault="00122FDB" w:rsidP="00122FDB">
      <w:pPr>
        <w:spacing w:after="0" w:line="240" w:lineRule="auto"/>
        <w:rPr>
          <w:rFonts w:asciiTheme="minorHAnsi" w:hAnsiTheme="minorHAnsi"/>
          <w:sz w:val="24"/>
        </w:rPr>
      </w:pPr>
    </w:p>
    <w:p w14:paraId="69E02CF3" w14:textId="77777777" w:rsidR="00122FDB" w:rsidRDefault="00122FDB" w:rsidP="00122FDB">
      <w:pPr>
        <w:pStyle w:val="Heading2"/>
      </w:pPr>
      <w:r>
        <w:t>VII. Implementation</w:t>
      </w:r>
    </w:p>
    <w:p w14:paraId="58295D0A" w14:textId="7FD6CCEE" w:rsidR="00122FDB" w:rsidRDefault="00122FDB" w:rsidP="00122FDB">
      <w:pPr>
        <w:pStyle w:val="ListParagraph"/>
        <w:numPr>
          <w:ilvl w:val="0"/>
          <w:numId w:val="14"/>
        </w:numPr>
        <w:ind w:left="720" w:hanging="360"/>
        <w:rPr>
          <w:rFonts w:asciiTheme="minorHAnsi" w:hAnsiTheme="minorHAnsi"/>
          <w:sz w:val="24"/>
        </w:rPr>
      </w:pPr>
      <w:r w:rsidRPr="00122FDB">
        <w:rPr>
          <w:rFonts w:asciiTheme="minorHAnsi" w:hAnsiTheme="minorHAnsi"/>
          <w:sz w:val="24"/>
        </w:rPr>
        <w:t xml:space="preserve">No later than 90 days after this policy is approved, the CFO </w:t>
      </w:r>
      <w:r w:rsidR="00A016BD">
        <w:rPr>
          <w:rFonts w:asciiTheme="minorHAnsi" w:hAnsiTheme="minorHAnsi"/>
          <w:sz w:val="24"/>
        </w:rPr>
        <w:t>will</w:t>
      </w:r>
      <w:r w:rsidR="00C95210">
        <w:rPr>
          <w:rFonts w:asciiTheme="minorHAnsi" w:hAnsiTheme="minorHAnsi"/>
          <w:sz w:val="24"/>
        </w:rPr>
        <w:t xml:space="preserve"> </w:t>
      </w:r>
      <w:r w:rsidR="00D04A49">
        <w:rPr>
          <w:rFonts w:asciiTheme="minorHAnsi" w:hAnsiTheme="minorHAnsi"/>
          <w:sz w:val="24"/>
        </w:rPr>
        <w:t>issue</w:t>
      </w:r>
      <w:r w:rsidRPr="00122FDB">
        <w:rPr>
          <w:rFonts w:asciiTheme="minorHAnsi" w:hAnsiTheme="minorHAnsi"/>
          <w:sz w:val="24"/>
        </w:rPr>
        <w:t xml:space="preserve"> implementation guidance</w:t>
      </w:r>
      <w:r w:rsidR="00A016BD">
        <w:rPr>
          <w:rFonts w:asciiTheme="minorHAnsi" w:hAnsiTheme="minorHAnsi"/>
          <w:sz w:val="24"/>
        </w:rPr>
        <w:t xml:space="preserve"> and </w:t>
      </w:r>
      <w:r w:rsidR="00A53230">
        <w:rPr>
          <w:rFonts w:asciiTheme="minorHAnsi" w:hAnsiTheme="minorHAnsi"/>
          <w:sz w:val="24"/>
        </w:rPr>
        <w:t xml:space="preserve">a list of </w:t>
      </w:r>
      <w:r w:rsidR="00A016BD">
        <w:rPr>
          <w:rFonts w:asciiTheme="minorHAnsi" w:hAnsiTheme="minorHAnsi"/>
          <w:sz w:val="24"/>
        </w:rPr>
        <w:t xml:space="preserve">the employee positions </w:t>
      </w:r>
      <w:r w:rsidR="00A53230">
        <w:rPr>
          <w:rFonts w:asciiTheme="minorHAnsi" w:hAnsiTheme="minorHAnsi"/>
          <w:sz w:val="24"/>
        </w:rPr>
        <w:t xml:space="preserve">defined herein as </w:t>
      </w:r>
      <w:r w:rsidR="00A016BD">
        <w:rPr>
          <w:rFonts w:asciiTheme="minorHAnsi" w:hAnsiTheme="minorHAnsi"/>
          <w:sz w:val="24"/>
        </w:rPr>
        <w:t>eligible for classification on a capital budget</w:t>
      </w:r>
      <w:r w:rsidRPr="00122FDB">
        <w:rPr>
          <w:rFonts w:asciiTheme="minorHAnsi" w:hAnsiTheme="minorHAnsi"/>
          <w:sz w:val="24"/>
        </w:rPr>
        <w:t>.</w:t>
      </w:r>
      <w:r w:rsidR="00951F3D">
        <w:rPr>
          <w:rFonts w:asciiTheme="minorHAnsi" w:hAnsiTheme="minorHAnsi"/>
          <w:sz w:val="24"/>
        </w:rPr>
        <w:t xml:space="preserve"> </w:t>
      </w:r>
    </w:p>
    <w:p w14:paraId="12670121" w14:textId="5F4858B5" w:rsidR="002F6360" w:rsidRPr="002F6360" w:rsidRDefault="00D04A49" w:rsidP="00122FDB">
      <w:pPr>
        <w:pStyle w:val="ListParagraph"/>
        <w:numPr>
          <w:ilvl w:val="0"/>
          <w:numId w:val="14"/>
        </w:numPr>
        <w:ind w:left="720" w:hanging="360"/>
        <w:rPr>
          <w:rFonts w:asciiTheme="minorHAnsi" w:hAnsiTheme="minorHAnsi"/>
          <w:sz w:val="24"/>
          <w:szCs w:val="24"/>
        </w:rPr>
      </w:pPr>
      <w:r>
        <w:rPr>
          <w:rFonts w:asciiTheme="minorHAnsi" w:hAnsiTheme="minorHAnsi"/>
          <w:sz w:val="24"/>
          <w:szCs w:val="24"/>
        </w:rPr>
        <w:t>Every two years, this policy will be reviewed and amended as appropriate and reauthorized by the Authority</w:t>
      </w:r>
      <w:r w:rsidR="0047468E">
        <w:rPr>
          <w:rFonts w:asciiTheme="minorHAnsi" w:hAnsiTheme="minorHAnsi"/>
          <w:sz w:val="24"/>
          <w:szCs w:val="24"/>
        </w:rPr>
        <w:t>’</w:t>
      </w:r>
      <w:r>
        <w:rPr>
          <w:rFonts w:asciiTheme="minorHAnsi" w:hAnsiTheme="minorHAnsi"/>
          <w:sz w:val="24"/>
          <w:szCs w:val="24"/>
        </w:rPr>
        <w:t xml:space="preserve">s governing board of directors. </w:t>
      </w:r>
    </w:p>
    <w:p w14:paraId="07CDFAC2" w14:textId="36071D71" w:rsidR="002F6360" w:rsidRDefault="00122FDB" w:rsidP="002F6360">
      <w:pPr>
        <w:pStyle w:val="ListParagraph"/>
        <w:numPr>
          <w:ilvl w:val="0"/>
          <w:numId w:val="14"/>
        </w:numPr>
        <w:ind w:left="720" w:hanging="360"/>
        <w:rPr>
          <w:rFonts w:asciiTheme="minorHAnsi" w:hAnsiTheme="minorHAnsi"/>
          <w:sz w:val="24"/>
        </w:rPr>
      </w:pPr>
      <w:r w:rsidRPr="00122FDB">
        <w:rPr>
          <w:rFonts w:asciiTheme="minorHAnsi" w:hAnsiTheme="minorHAnsi"/>
          <w:sz w:val="24"/>
        </w:rPr>
        <w:t xml:space="preserve">On an annual basis, </w:t>
      </w:r>
      <w:r w:rsidR="00D04A49">
        <w:rPr>
          <w:rFonts w:asciiTheme="minorHAnsi" w:hAnsiTheme="minorHAnsi"/>
          <w:sz w:val="24"/>
        </w:rPr>
        <w:t xml:space="preserve">a review of </w:t>
      </w:r>
      <w:r w:rsidRPr="00122FDB">
        <w:rPr>
          <w:rFonts w:asciiTheme="minorHAnsi" w:hAnsiTheme="minorHAnsi"/>
          <w:sz w:val="24"/>
        </w:rPr>
        <w:t xml:space="preserve">the </w:t>
      </w:r>
      <w:r w:rsidR="00D04A49">
        <w:rPr>
          <w:rFonts w:asciiTheme="minorHAnsi" w:hAnsiTheme="minorHAnsi"/>
          <w:sz w:val="24"/>
        </w:rPr>
        <w:t xml:space="preserve">Authority’s practices related to classifying employees on a capital budget </w:t>
      </w:r>
      <w:r w:rsidRPr="00122FDB">
        <w:rPr>
          <w:rFonts w:asciiTheme="minorHAnsi" w:hAnsiTheme="minorHAnsi"/>
          <w:sz w:val="24"/>
        </w:rPr>
        <w:t xml:space="preserve">shall </w:t>
      </w:r>
      <w:r w:rsidR="00D04A49">
        <w:rPr>
          <w:rFonts w:asciiTheme="minorHAnsi" w:hAnsiTheme="minorHAnsi"/>
          <w:sz w:val="24"/>
        </w:rPr>
        <w:t xml:space="preserve">be performed by </w:t>
      </w:r>
      <w:proofErr w:type="gramStart"/>
      <w:r w:rsidR="00D04A49">
        <w:rPr>
          <w:rFonts w:asciiTheme="minorHAnsi" w:hAnsiTheme="minorHAnsi"/>
          <w:sz w:val="24"/>
        </w:rPr>
        <w:t>a an</w:t>
      </w:r>
      <w:proofErr w:type="gramEnd"/>
      <w:r w:rsidR="00D04A49">
        <w:rPr>
          <w:rFonts w:asciiTheme="minorHAnsi" w:hAnsiTheme="minorHAnsi"/>
          <w:sz w:val="24"/>
        </w:rPr>
        <w:t xml:space="preserve"> independent </w:t>
      </w:r>
      <w:r w:rsidRPr="00122FDB">
        <w:rPr>
          <w:rFonts w:asciiTheme="minorHAnsi" w:hAnsiTheme="minorHAnsi"/>
          <w:sz w:val="24"/>
        </w:rPr>
        <w:t xml:space="preserve">third party </w:t>
      </w:r>
      <w:r w:rsidR="00D04A49">
        <w:rPr>
          <w:rFonts w:asciiTheme="minorHAnsi" w:hAnsiTheme="minorHAnsi"/>
          <w:sz w:val="24"/>
        </w:rPr>
        <w:t>auditor</w:t>
      </w:r>
      <w:r w:rsidRPr="00122FDB">
        <w:rPr>
          <w:rFonts w:asciiTheme="minorHAnsi" w:hAnsiTheme="minorHAnsi"/>
          <w:sz w:val="24"/>
        </w:rPr>
        <w:t>.</w:t>
      </w:r>
      <w:r w:rsidR="00D440BF">
        <w:rPr>
          <w:rFonts w:asciiTheme="minorHAnsi" w:hAnsiTheme="minorHAnsi"/>
          <w:sz w:val="24"/>
        </w:rPr>
        <w:t xml:space="preserve">  This review shall cover the fiscal year ending June 30, and be provided to the </w:t>
      </w:r>
      <w:r w:rsidR="0047468E">
        <w:rPr>
          <w:rFonts w:asciiTheme="minorHAnsi" w:hAnsiTheme="minorHAnsi"/>
          <w:sz w:val="24"/>
        </w:rPr>
        <w:t xml:space="preserve">Authority’s governing board of directors </w:t>
      </w:r>
      <w:r w:rsidR="00D440BF">
        <w:rPr>
          <w:rFonts w:asciiTheme="minorHAnsi" w:hAnsiTheme="minorHAnsi"/>
          <w:sz w:val="24"/>
        </w:rPr>
        <w:t>no later than November 30 of the following fiscal year.</w:t>
      </w:r>
    </w:p>
    <w:p w14:paraId="4D4EE960" w14:textId="1840ACA5" w:rsidR="00A016BD" w:rsidRPr="002F6360" w:rsidRDefault="00A016BD" w:rsidP="002F6360">
      <w:pPr>
        <w:ind w:left="360"/>
        <w:rPr>
          <w:rFonts w:asciiTheme="minorHAnsi" w:hAnsiTheme="minorHAnsi"/>
          <w:sz w:val="24"/>
        </w:rPr>
      </w:pPr>
    </w:p>
    <w:sectPr w:rsidR="00A016BD" w:rsidRPr="002F6360" w:rsidSect="000B215E">
      <w:headerReference w:type="default" r:id="rId11"/>
      <w:footerReference w:type="default" r:id="rId12"/>
      <w:footerReference w:type="first" r:id="rId13"/>
      <w:pgSz w:w="12240" w:h="15840" w:code="1"/>
      <w:pgMar w:top="1440" w:right="1440" w:bottom="1440" w:left="1440" w:header="720" w:footer="5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D8287" w14:textId="77777777" w:rsidR="007461CA" w:rsidRDefault="007461CA" w:rsidP="004C2179">
      <w:pPr>
        <w:spacing w:after="0" w:line="240" w:lineRule="auto"/>
      </w:pPr>
      <w:r>
        <w:separator/>
      </w:r>
    </w:p>
    <w:p w14:paraId="07B5504F" w14:textId="77777777" w:rsidR="007461CA" w:rsidRDefault="007461CA"/>
    <w:p w14:paraId="51D6A351" w14:textId="77777777" w:rsidR="007461CA" w:rsidRDefault="007461CA" w:rsidP="00122FDB"/>
  </w:endnote>
  <w:endnote w:type="continuationSeparator" w:id="0">
    <w:p w14:paraId="7D4849DD" w14:textId="77777777" w:rsidR="007461CA" w:rsidRDefault="007461CA" w:rsidP="004C2179">
      <w:pPr>
        <w:spacing w:after="0" w:line="240" w:lineRule="auto"/>
      </w:pPr>
      <w:r>
        <w:continuationSeparator/>
      </w:r>
    </w:p>
    <w:p w14:paraId="59469F37" w14:textId="77777777" w:rsidR="007461CA" w:rsidRDefault="007461CA"/>
    <w:p w14:paraId="0556EB9B" w14:textId="77777777" w:rsidR="007461CA" w:rsidRDefault="007461CA" w:rsidP="00122FDB"/>
  </w:endnote>
  <w:endnote w:type="continuationNotice" w:id="1">
    <w:p w14:paraId="00DE0D45" w14:textId="77777777" w:rsidR="007461CA" w:rsidRDefault="007461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ras Medium ITC">
    <w:altName w:val="Calibri"/>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Eras Demi ITC">
    <w:altName w:val="Calibri"/>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27B95" w14:textId="69605F2A" w:rsidR="005C0243" w:rsidRPr="00122FDB" w:rsidRDefault="005C0243" w:rsidP="00122FDB">
    <w:pPr>
      <w:pStyle w:val="Footer"/>
      <w:jc w:val="right"/>
      <w:rPr>
        <w:rFonts w:ascii="Calibri" w:hAnsi="Calibri"/>
        <w:sz w:val="20"/>
        <w:szCs w:val="20"/>
      </w:rPr>
    </w:pPr>
    <w:r w:rsidRPr="005C0243">
      <w:rPr>
        <w:rFonts w:ascii="Calibri" w:hAnsi="Calibri"/>
        <w:sz w:val="20"/>
        <w:szCs w:val="20"/>
      </w:rPr>
      <w:t xml:space="preserve">Page </w:t>
    </w:r>
    <w:r w:rsidRPr="005C0243">
      <w:rPr>
        <w:rFonts w:ascii="Calibri" w:hAnsi="Calibri"/>
        <w:sz w:val="20"/>
        <w:szCs w:val="20"/>
      </w:rPr>
      <w:fldChar w:fldCharType="begin"/>
    </w:r>
    <w:r w:rsidRPr="005C0243">
      <w:rPr>
        <w:rFonts w:ascii="Calibri" w:hAnsi="Calibri"/>
        <w:sz w:val="20"/>
        <w:szCs w:val="20"/>
      </w:rPr>
      <w:instrText xml:space="preserve"> PAGE   \* MERGEFORMAT </w:instrText>
    </w:r>
    <w:r w:rsidRPr="005C0243">
      <w:rPr>
        <w:rFonts w:ascii="Calibri" w:hAnsi="Calibri"/>
        <w:sz w:val="20"/>
        <w:szCs w:val="20"/>
      </w:rPr>
      <w:fldChar w:fldCharType="separate"/>
    </w:r>
    <w:r w:rsidR="00BF11E4">
      <w:rPr>
        <w:rFonts w:ascii="Calibri" w:hAnsi="Calibri"/>
        <w:noProof/>
        <w:sz w:val="20"/>
        <w:szCs w:val="20"/>
      </w:rPr>
      <w:t>2</w:t>
    </w:r>
    <w:r w:rsidRPr="005C0243">
      <w:rPr>
        <w:rFonts w:ascii="Calibri" w:hAnsi="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B1E1E" w14:textId="77777777" w:rsidR="00A56CD3" w:rsidRDefault="000B215E">
    <w:pPr>
      <w:pStyle w:val="Footer"/>
    </w:pPr>
    <w:r>
      <w:rPr>
        <w:rFonts w:ascii="Eras Demi ITC" w:hAnsi="Eras Demi ITC"/>
        <w:noProof/>
        <w:sz w:val="18"/>
        <w:szCs w:val="18"/>
      </w:rPr>
      <mc:AlternateContent>
        <mc:Choice Requires="wps">
          <w:drawing>
            <wp:anchor distT="0" distB="0" distL="114300" distR="114300" simplePos="0" relativeHeight="251656704" behindDoc="1" locked="0" layoutInCell="1" allowOverlap="1" wp14:anchorId="57C402A8" wp14:editId="00C4C722">
              <wp:simplePos x="0" y="0"/>
              <wp:positionH relativeFrom="page">
                <wp:posOffset>3654161</wp:posOffset>
              </wp:positionH>
              <wp:positionV relativeFrom="page">
                <wp:posOffset>9167495</wp:posOffset>
              </wp:positionV>
              <wp:extent cx="3200400" cy="6477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78236" w14:textId="77777777" w:rsidR="00BF11E4" w:rsidRPr="002B6E4F" w:rsidRDefault="00BF11E4" w:rsidP="00BF11E4">
                          <w:pPr>
                            <w:spacing w:after="0"/>
                            <w:jc w:val="right"/>
                            <w:rPr>
                              <w:color w:val="005295"/>
                              <w:sz w:val="18"/>
                              <w:szCs w:val="18"/>
                            </w:rPr>
                          </w:pPr>
                          <w:r w:rsidRPr="002B6E4F">
                            <w:rPr>
                              <w:color w:val="005295"/>
                              <w:sz w:val="18"/>
                              <w:szCs w:val="18"/>
                            </w:rPr>
                            <w:t xml:space="preserve">Ten Park Plaza, Suite </w:t>
                          </w:r>
                          <w:r>
                            <w:rPr>
                              <w:color w:val="005295"/>
                              <w:sz w:val="18"/>
                              <w:szCs w:val="18"/>
                            </w:rPr>
                            <w:t>4510</w:t>
                          </w:r>
                          <w:r w:rsidRPr="002B6E4F">
                            <w:rPr>
                              <w:color w:val="005295"/>
                              <w:sz w:val="18"/>
                              <w:szCs w:val="18"/>
                            </w:rPr>
                            <w:t>, Boston, MA 02116</w:t>
                          </w:r>
                        </w:p>
                        <w:p w14:paraId="2A7B3A5E" w14:textId="77777777" w:rsidR="00BF11E4" w:rsidRPr="002B6E4F" w:rsidRDefault="00BF11E4" w:rsidP="00BF11E4">
                          <w:pPr>
                            <w:spacing w:after="0"/>
                            <w:jc w:val="right"/>
                            <w:rPr>
                              <w:color w:val="005295"/>
                              <w:sz w:val="18"/>
                              <w:szCs w:val="18"/>
                            </w:rPr>
                          </w:pPr>
                          <w:r w:rsidRPr="002B6E4F">
                            <w:rPr>
                              <w:color w:val="005295"/>
                              <w:sz w:val="18"/>
                              <w:szCs w:val="18"/>
                            </w:rPr>
                            <w:t xml:space="preserve">Tel: </w:t>
                          </w:r>
                          <w:r>
                            <w:rPr>
                              <w:color w:val="005295"/>
                              <w:sz w:val="18"/>
                              <w:szCs w:val="18"/>
                            </w:rPr>
                            <w:t>617-222-3200</w:t>
                          </w:r>
                          <w:r w:rsidRPr="002B6E4F">
                            <w:rPr>
                              <w:color w:val="005295"/>
                              <w:sz w:val="18"/>
                              <w:szCs w:val="18"/>
                            </w:rPr>
                            <w:t>, T</w:t>
                          </w:r>
                          <w:r>
                            <w:rPr>
                              <w:color w:val="005295"/>
                              <w:sz w:val="18"/>
                              <w:szCs w:val="18"/>
                            </w:rPr>
                            <w:t>TY</w:t>
                          </w:r>
                          <w:r w:rsidRPr="002B6E4F">
                            <w:rPr>
                              <w:color w:val="005295"/>
                              <w:sz w:val="18"/>
                              <w:szCs w:val="18"/>
                            </w:rPr>
                            <w:t xml:space="preserve">: </w:t>
                          </w:r>
                          <w:r>
                            <w:rPr>
                              <w:color w:val="005295"/>
                              <w:sz w:val="18"/>
                              <w:szCs w:val="18"/>
                            </w:rPr>
                            <w:t>617-222-5146</w:t>
                          </w:r>
                        </w:p>
                        <w:p w14:paraId="1A26731D" w14:textId="360754A1" w:rsidR="00A56CD3" w:rsidRPr="002B6E4F" w:rsidRDefault="00BF11E4" w:rsidP="004C2179">
                          <w:pPr>
                            <w:spacing w:after="0"/>
                            <w:jc w:val="right"/>
                            <w:rPr>
                              <w:color w:val="005295"/>
                              <w:sz w:val="18"/>
                              <w:szCs w:val="18"/>
                            </w:rPr>
                          </w:pPr>
                          <w:r w:rsidRPr="002B6E4F">
                            <w:rPr>
                              <w:color w:val="005295"/>
                              <w:sz w:val="18"/>
                              <w:szCs w:val="18"/>
                            </w:rPr>
                            <w:t>www.</w:t>
                          </w:r>
                          <w:r>
                            <w:rPr>
                              <w:color w:val="005295"/>
                              <w:sz w:val="18"/>
                              <w:szCs w:val="18"/>
                            </w:rPr>
                            <w:t>mbta.com</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C402A8" id="_x0000_t202" coordsize="21600,21600" o:spt="202" path="m,l,21600r21600,l21600,xe">
              <v:stroke joinstyle="miter"/>
              <v:path gradientshapeok="t" o:connecttype="rect"/>
            </v:shapetype>
            <v:shape id="Text Box 1" o:spid="_x0000_s1026" type="#_x0000_t202" style="position:absolute;margin-left:287.75pt;margin-top:721.85pt;width:252pt;height:5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" filled="f" stroked="f">
              <v:textbox inset="0,0,0,0">
                <w:txbxContent>
                  <w:p w14:paraId="76E78236" w14:textId="77777777" w:rsidR="00BF11E4" w:rsidRPr="002B6E4F" w:rsidRDefault="00BF11E4" w:rsidP="00BF11E4">
                    <w:pPr>
                      <w:spacing w:after="0"/>
                      <w:jc w:val="right"/>
                      <w:rPr>
                        <w:color w:val="005295"/>
                        <w:sz w:val="18"/>
                        <w:szCs w:val="18"/>
                      </w:rPr>
                    </w:pPr>
                    <w:r w:rsidRPr="002B6E4F">
                      <w:rPr>
                        <w:color w:val="005295"/>
                        <w:sz w:val="18"/>
                        <w:szCs w:val="18"/>
                      </w:rPr>
                      <w:t xml:space="preserve">Ten Park Plaza, Suite </w:t>
                    </w:r>
                    <w:r>
                      <w:rPr>
                        <w:color w:val="005295"/>
                        <w:sz w:val="18"/>
                        <w:szCs w:val="18"/>
                      </w:rPr>
                      <w:t>4510</w:t>
                    </w:r>
                    <w:r w:rsidRPr="002B6E4F">
                      <w:rPr>
                        <w:color w:val="005295"/>
                        <w:sz w:val="18"/>
                        <w:szCs w:val="18"/>
                      </w:rPr>
                      <w:t>, Boston, MA 02116</w:t>
                    </w:r>
                  </w:p>
                  <w:p w14:paraId="2A7B3A5E" w14:textId="77777777" w:rsidR="00BF11E4" w:rsidRPr="002B6E4F" w:rsidRDefault="00BF11E4" w:rsidP="00BF11E4">
                    <w:pPr>
                      <w:spacing w:after="0"/>
                      <w:jc w:val="right"/>
                      <w:rPr>
                        <w:color w:val="005295"/>
                        <w:sz w:val="18"/>
                        <w:szCs w:val="18"/>
                      </w:rPr>
                    </w:pPr>
                    <w:r w:rsidRPr="002B6E4F">
                      <w:rPr>
                        <w:color w:val="005295"/>
                        <w:sz w:val="18"/>
                        <w:szCs w:val="18"/>
                      </w:rPr>
                      <w:t xml:space="preserve">Tel: </w:t>
                    </w:r>
                    <w:r>
                      <w:rPr>
                        <w:color w:val="005295"/>
                        <w:sz w:val="18"/>
                        <w:szCs w:val="18"/>
                      </w:rPr>
                      <w:t>617-222-3200</w:t>
                    </w:r>
                    <w:r w:rsidRPr="002B6E4F">
                      <w:rPr>
                        <w:color w:val="005295"/>
                        <w:sz w:val="18"/>
                        <w:szCs w:val="18"/>
                      </w:rPr>
                      <w:t>, T</w:t>
                    </w:r>
                    <w:r>
                      <w:rPr>
                        <w:color w:val="005295"/>
                        <w:sz w:val="18"/>
                        <w:szCs w:val="18"/>
                      </w:rPr>
                      <w:t>TY</w:t>
                    </w:r>
                    <w:r w:rsidRPr="002B6E4F">
                      <w:rPr>
                        <w:color w:val="005295"/>
                        <w:sz w:val="18"/>
                        <w:szCs w:val="18"/>
                      </w:rPr>
                      <w:t xml:space="preserve">: </w:t>
                    </w:r>
                    <w:r>
                      <w:rPr>
                        <w:color w:val="005295"/>
                        <w:sz w:val="18"/>
                        <w:szCs w:val="18"/>
                      </w:rPr>
                      <w:t>617-222-5146</w:t>
                    </w:r>
                  </w:p>
                  <w:p w14:paraId="1A26731D" w14:textId="360754A1" w:rsidR="00A56CD3" w:rsidRPr="002B6E4F" w:rsidRDefault="00BF11E4" w:rsidP="004C2179">
                    <w:pPr>
                      <w:spacing w:after="0"/>
                      <w:jc w:val="right"/>
                      <w:rPr>
                        <w:color w:val="005295"/>
                        <w:sz w:val="18"/>
                        <w:szCs w:val="18"/>
                      </w:rPr>
                    </w:pPr>
                    <w:r w:rsidRPr="002B6E4F">
                      <w:rPr>
                        <w:color w:val="005295"/>
                        <w:sz w:val="18"/>
                        <w:szCs w:val="18"/>
                      </w:rPr>
                      <w:t>www.</w:t>
                    </w:r>
                    <w:r>
                      <w:rPr>
                        <w:color w:val="005295"/>
                        <w:sz w:val="18"/>
                        <w:szCs w:val="18"/>
                      </w:rPr>
                      <w:t>mbta.com</w:t>
                    </w:r>
                  </w:p>
                </w:txbxContent>
              </v:textbox>
              <w10:wrap anchorx="page" anchory="page"/>
            </v:shape>
          </w:pict>
        </mc:Fallback>
      </mc:AlternateContent>
    </w:r>
    <w:r>
      <w:rPr>
        <w:rFonts w:ascii="Eras Demi ITC" w:hAnsi="Eras Demi ITC"/>
        <w:noProof/>
        <w:sz w:val="18"/>
        <w:szCs w:val="18"/>
      </w:rPr>
      <mc:AlternateContent>
        <mc:Choice Requires="wps">
          <w:drawing>
            <wp:anchor distT="0" distB="0" distL="114300" distR="114300" simplePos="0" relativeHeight="251657728" behindDoc="1" locked="0" layoutInCell="1" allowOverlap="1" wp14:anchorId="392DDD97" wp14:editId="2F9AB9BB">
              <wp:simplePos x="0" y="0"/>
              <wp:positionH relativeFrom="page">
                <wp:posOffset>418465</wp:posOffset>
              </wp:positionH>
              <wp:positionV relativeFrom="page">
                <wp:posOffset>9515475</wp:posOffset>
              </wp:positionV>
              <wp:extent cx="3239135" cy="3714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13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5163D" w14:textId="77777777" w:rsidR="00A56CD3" w:rsidRPr="00961CCC" w:rsidRDefault="00A56CD3" w:rsidP="004C2179">
                          <w:pPr>
                            <w:spacing w:after="0"/>
                            <w:rPr>
                              <w:rFonts w:ascii="Eras Demi ITC" w:hAnsi="Eras Demi ITC"/>
                              <w:color w:val="005295"/>
                              <w:sz w:val="18"/>
                              <w:szCs w:val="18"/>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392DDD97" id="Text Box 2" o:spid="_x0000_s1027" type="#_x0000_t202" style="position:absolute;margin-left:32.95pt;margin-top:749.25pt;width:255.05pt;height:29.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" filled="f" stroked="f">
              <v:textbox inset="0,0,0,0">
                <w:txbxContent>
                  <w:p w14:paraId="2F35163D" w14:textId="77777777" w:rsidR="00A56CD3" w:rsidRPr="00961CCC" w:rsidRDefault="00A56CD3" w:rsidP="004C2179">
                    <w:pPr>
                      <w:spacing w:after="0"/>
                      <w:rPr>
                        <w:rFonts w:ascii="Eras Demi ITC" w:hAnsi="Eras Demi ITC"/>
                        <w:color w:val="005295"/>
                        <w:sz w:val="18"/>
                        <w:szCs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BFEF2" w14:textId="77777777" w:rsidR="007461CA" w:rsidRDefault="007461CA" w:rsidP="004C2179">
      <w:pPr>
        <w:spacing w:after="0" w:line="240" w:lineRule="auto"/>
      </w:pPr>
      <w:r>
        <w:separator/>
      </w:r>
    </w:p>
    <w:p w14:paraId="4EA05C42" w14:textId="77777777" w:rsidR="007461CA" w:rsidRDefault="007461CA"/>
    <w:p w14:paraId="790041B7" w14:textId="77777777" w:rsidR="007461CA" w:rsidRDefault="007461CA" w:rsidP="00122FDB"/>
  </w:footnote>
  <w:footnote w:type="continuationSeparator" w:id="0">
    <w:p w14:paraId="2781A22B" w14:textId="77777777" w:rsidR="007461CA" w:rsidRDefault="007461CA" w:rsidP="004C2179">
      <w:pPr>
        <w:spacing w:after="0" w:line="240" w:lineRule="auto"/>
      </w:pPr>
      <w:r>
        <w:continuationSeparator/>
      </w:r>
    </w:p>
    <w:p w14:paraId="3337253D" w14:textId="77777777" w:rsidR="007461CA" w:rsidRDefault="007461CA"/>
    <w:p w14:paraId="659C51ED" w14:textId="77777777" w:rsidR="007461CA" w:rsidRDefault="007461CA" w:rsidP="00122FDB"/>
  </w:footnote>
  <w:footnote w:type="continuationNotice" w:id="1">
    <w:p w14:paraId="49E2364C" w14:textId="77777777" w:rsidR="007461CA" w:rsidRDefault="007461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9874B" w14:textId="5E8E00B7" w:rsidR="00A56CD3" w:rsidRDefault="000B215E">
    <w:pPr>
      <w:pStyle w:val="Header"/>
    </w:pPr>
    <w:r>
      <w:t xml:space="preserve">MBTA </w:t>
    </w:r>
    <w:r w:rsidR="004748A1">
      <w:t xml:space="preserve">Capital Expense Policy </w:t>
    </w:r>
  </w:p>
  <w:p w14:paraId="68381366" w14:textId="77777777" w:rsidR="00476959" w:rsidRDefault="00476959" w:rsidP="00122FD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B5C71"/>
    <w:multiLevelType w:val="hybridMultilevel"/>
    <w:tmpl w:val="84B8E8FC"/>
    <w:lvl w:ilvl="0" w:tplc="D4F423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F5392"/>
    <w:multiLevelType w:val="hybridMultilevel"/>
    <w:tmpl w:val="90766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A2C55"/>
    <w:multiLevelType w:val="hybridMultilevel"/>
    <w:tmpl w:val="3E801B52"/>
    <w:lvl w:ilvl="0" w:tplc="B3E8550E">
      <w:start w:val="1"/>
      <w:numFmt w:val="upperRoman"/>
      <w:lvlText w:val="%1."/>
      <w:lvlJc w:val="left"/>
      <w:pPr>
        <w:ind w:left="720" w:hanging="720"/>
      </w:pPr>
      <w:rPr>
        <w:rFonts w:hint="default"/>
        <w:u w:val="none"/>
      </w:rPr>
    </w:lvl>
    <w:lvl w:ilvl="1" w:tplc="C7F81B2A">
      <w:start w:val="1"/>
      <w:numFmt w:val="decimal"/>
      <w:lvlText w:val="%2."/>
      <w:lvlJc w:val="left"/>
      <w:pPr>
        <w:ind w:left="1080" w:hanging="360"/>
      </w:pPr>
      <w:rPr>
        <w:i w:val="0"/>
      </w:rPr>
    </w:lvl>
    <w:lvl w:ilvl="2" w:tplc="04090019">
      <w:start w:val="1"/>
      <w:numFmt w:val="lowerLetter"/>
      <w:lvlText w:val="%3."/>
      <w:lvlJc w:val="left"/>
      <w:pPr>
        <w:ind w:left="1800" w:hanging="180"/>
      </w:pPr>
    </w:lvl>
    <w:lvl w:ilvl="3" w:tplc="8C5E78A6">
      <w:start w:val="1"/>
      <w:numFmt w:val="decimal"/>
      <w:lvlText w:val="%4."/>
      <w:lvlJc w:val="left"/>
      <w:pPr>
        <w:ind w:left="2520" w:hanging="360"/>
      </w:pPr>
      <w:rPr>
        <w:i w:val="0"/>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96F32FD"/>
    <w:multiLevelType w:val="hybridMultilevel"/>
    <w:tmpl w:val="7D9092C4"/>
    <w:lvl w:ilvl="0" w:tplc="B3E8550E">
      <w:start w:val="1"/>
      <w:numFmt w:val="upperRoman"/>
      <w:lvlText w:val="%1."/>
      <w:lvlJc w:val="left"/>
      <w:pPr>
        <w:ind w:left="72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A0277B"/>
    <w:multiLevelType w:val="hybridMultilevel"/>
    <w:tmpl w:val="E0C47392"/>
    <w:lvl w:ilvl="0" w:tplc="260011F4">
      <w:start w:val="1"/>
      <w:numFmt w:val="decimal"/>
      <w:lvlText w:val="%1."/>
      <w:lvlJc w:val="left"/>
      <w:pPr>
        <w:ind w:left="1080" w:hanging="720"/>
      </w:pPr>
      <w:rPr>
        <w:rFonts w:hint="default"/>
      </w:rPr>
    </w:lvl>
    <w:lvl w:ilvl="1" w:tplc="3A34602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D57C2C"/>
    <w:multiLevelType w:val="hybridMultilevel"/>
    <w:tmpl w:val="D5C43B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39975AC"/>
    <w:multiLevelType w:val="hybridMultilevel"/>
    <w:tmpl w:val="9120098A"/>
    <w:lvl w:ilvl="0" w:tplc="B3E8550E">
      <w:start w:val="1"/>
      <w:numFmt w:val="upperRoman"/>
      <w:lvlText w:val="%1."/>
      <w:lvlJc w:val="left"/>
      <w:pPr>
        <w:ind w:left="720" w:hanging="720"/>
      </w:pPr>
      <w:rPr>
        <w:rFonts w:hint="default"/>
        <w:u w:val="none"/>
      </w:rPr>
    </w:lvl>
    <w:lvl w:ilvl="1" w:tplc="C7F81B2A">
      <w:start w:val="1"/>
      <w:numFmt w:val="decimal"/>
      <w:lvlText w:val="%2."/>
      <w:lvlJc w:val="left"/>
      <w:pPr>
        <w:ind w:left="1080" w:hanging="360"/>
      </w:pPr>
      <w:rPr>
        <w:i w:val="0"/>
      </w:r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601660E"/>
    <w:multiLevelType w:val="hybridMultilevel"/>
    <w:tmpl w:val="03542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C4FE5"/>
    <w:multiLevelType w:val="hybridMultilevel"/>
    <w:tmpl w:val="494672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DD5B6E"/>
    <w:multiLevelType w:val="hybridMultilevel"/>
    <w:tmpl w:val="45E841FC"/>
    <w:lvl w:ilvl="0" w:tplc="E9308CBA">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1F2403"/>
    <w:multiLevelType w:val="hybridMultilevel"/>
    <w:tmpl w:val="A1667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7344F5"/>
    <w:multiLevelType w:val="hybridMultilevel"/>
    <w:tmpl w:val="36F26872"/>
    <w:lvl w:ilvl="0" w:tplc="B3E8550E">
      <w:start w:val="1"/>
      <w:numFmt w:val="upperRoman"/>
      <w:lvlText w:val="%1."/>
      <w:lvlJc w:val="left"/>
      <w:pPr>
        <w:ind w:left="72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B517E5"/>
    <w:multiLevelType w:val="hybridMultilevel"/>
    <w:tmpl w:val="260CFE1A"/>
    <w:lvl w:ilvl="0" w:tplc="A0A6AF4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044CBC"/>
    <w:multiLevelType w:val="hybridMultilevel"/>
    <w:tmpl w:val="1FDC8A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8"/>
  </w:num>
  <w:num w:numId="4">
    <w:abstractNumId w:val="1"/>
  </w:num>
  <w:num w:numId="5">
    <w:abstractNumId w:val="10"/>
  </w:num>
  <w:num w:numId="6">
    <w:abstractNumId w:val="9"/>
  </w:num>
  <w:num w:numId="7">
    <w:abstractNumId w:val="7"/>
  </w:num>
  <w:num w:numId="8">
    <w:abstractNumId w:val="4"/>
  </w:num>
  <w:num w:numId="9">
    <w:abstractNumId w:val="6"/>
  </w:num>
  <w:num w:numId="10">
    <w:abstractNumId w:val="2"/>
  </w:num>
  <w:num w:numId="11">
    <w:abstractNumId w:val="11"/>
  </w:num>
  <w:num w:numId="12">
    <w:abstractNumId w:val="12"/>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018"/>
    <w:rsid w:val="00002ECB"/>
    <w:rsid w:val="000A25D6"/>
    <w:rsid w:val="000B215E"/>
    <w:rsid w:val="000C5C7C"/>
    <w:rsid w:val="000D3CE9"/>
    <w:rsid w:val="001213E2"/>
    <w:rsid w:val="00122FDB"/>
    <w:rsid w:val="00145D4F"/>
    <w:rsid w:val="001A7C8F"/>
    <w:rsid w:val="001C036F"/>
    <w:rsid w:val="00217465"/>
    <w:rsid w:val="00230041"/>
    <w:rsid w:val="002629A3"/>
    <w:rsid w:val="002C0D27"/>
    <w:rsid w:val="002F04F7"/>
    <w:rsid w:val="002F6360"/>
    <w:rsid w:val="003108D7"/>
    <w:rsid w:val="00321CC7"/>
    <w:rsid w:val="00333146"/>
    <w:rsid w:val="003834B4"/>
    <w:rsid w:val="003933FB"/>
    <w:rsid w:val="003C5CD2"/>
    <w:rsid w:val="003D1BFE"/>
    <w:rsid w:val="003E5D60"/>
    <w:rsid w:val="003E6973"/>
    <w:rsid w:val="003F1D61"/>
    <w:rsid w:val="00457F3B"/>
    <w:rsid w:val="0047122A"/>
    <w:rsid w:val="0047468E"/>
    <w:rsid w:val="004748A1"/>
    <w:rsid w:val="00476959"/>
    <w:rsid w:val="00476C30"/>
    <w:rsid w:val="004A0EDA"/>
    <w:rsid w:val="004C2179"/>
    <w:rsid w:val="004C3371"/>
    <w:rsid w:val="004F48E9"/>
    <w:rsid w:val="00501379"/>
    <w:rsid w:val="00523519"/>
    <w:rsid w:val="00540FA2"/>
    <w:rsid w:val="00586BBC"/>
    <w:rsid w:val="005A5D00"/>
    <w:rsid w:val="005C0243"/>
    <w:rsid w:val="005E0539"/>
    <w:rsid w:val="006829B5"/>
    <w:rsid w:val="00685237"/>
    <w:rsid w:val="0069454F"/>
    <w:rsid w:val="006A7BBF"/>
    <w:rsid w:val="006B5EFE"/>
    <w:rsid w:val="00703686"/>
    <w:rsid w:val="00731457"/>
    <w:rsid w:val="00742904"/>
    <w:rsid w:val="007461CA"/>
    <w:rsid w:val="0077208A"/>
    <w:rsid w:val="007A3A0E"/>
    <w:rsid w:val="007E20F6"/>
    <w:rsid w:val="007E6A65"/>
    <w:rsid w:val="0081245A"/>
    <w:rsid w:val="008469BC"/>
    <w:rsid w:val="00850FB2"/>
    <w:rsid w:val="008B3612"/>
    <w:rsid w:val="008B7A43"/>
    <w:rsid w:val="00945D88"/>
    <w:rsid w:val="00950796"/>
    <w:rsid w:val="00951F3D"/>
    <w:rsid w:val="0095315F"/>
    <w:rsid w:val="00964C5E"/>
    <w:rsid w:val="009732A4"/>
    <w:rsid w:val="0098232A"/>
    <w:rsid w:val="00983590"/>
    <w:rsid w:val="00983EC3"/>
    <w:rsid w:val="0099786B"/>
    <w:rsid w:val="009B0592"/>
    <w:rsid w:val="009B74B8"/>
    <w:rsid w:val="009B7F02"/>
    <w:rsid w:val="009E3DF4"/>
    <w:rsid w:val="009F7339"/>
    <w:rsid w:val="00A016BD"/>
    <w:rsid w:val="00A53230"/>
    <w:rsid w:val="00A56CD3"/>
    <w:rsid w:val="00A80718"/>
    <w:rsid w:val="00AC3FAA"/>
    <w:rsid w:val="00AF2E27"/>
    <w:rsid w:val="00B07579"/>
    <w:rsid w:val="00B158D5"/>
    <w:rsid w:val="00B21536"/>
    <w:rsid w:val="00B35018"/>
    <w:rsid w:val="00B42083"/>
    <w:rsid w:val="00B6077E"/>
    <w:rsid w:val="00BA0C1C"/>
    <w:rsid w:val="00BB217C"/>
    <w:rsid w:val="00BC67B1"/>
    <w:rsid w:val="00BF11E4"/>
    <w:rsid w:val="00C10B15"/>
    <w:rsid w:val="00C30396"/>
    <w:rsid w:val="00C31F67"/>
    <w:rsid w:val="00C41B17"/>
    <w:rsid w:val="00C50B3E"/>
    <w:rsid w:val="00C53811"/>
    <w:rsid w:val="00C54A99"/>
    <w:rsid w:val="00C5764F"/>
    <w:rsid w:val="00C76BA1"/>
    <w:rsid w:val="00C95210"/>
    <w:rsid w:val="00CA3D71"/>
    <w:rsid w:val="00CB25F6"/>
    <w:rsid w:val="00CF18C6"/>
    <w:rsid w:val="00CF62C2"/>
    <w:rsid w:val="00D00CE2"/>
    <w:rsid w:val="00D04A49"/>
    <w:rsid w:val="00D04E3E"/>
    <w:rsid w:val="00D15675"/>
    <w:rsid w:val="00D440BF"/>
    <w:rsid w:val="00D44E08"/>
    <w:rsid w:val="00D5769A"/>
    <w:rsid w:val="00DD2501"/>
    <w:rsid w:val="00E35CD9"/>
    <w:rsid w:val="00E477F9"/>
    <w:rsid w:val="00E77D70"/>
    <w:rsid w:val="00EA6FFF"/>
    <w:rsid w:val="00EE7782"/>
    <w:rsid w:val="00F27AD3"/>
    <w:rsid w:val="00F376C1"/>
    <w:rsid w:val="00F47F29"/>
    <w:rsid w:val="00F54AFA"/>
    <w:rsid w:val="00F5718F"/>
    <w:rsid w:val="00F603E4"/>
    <w:rsid w:val="00F7276D"/>
    <w:rsid w:val="00FD2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6575B"/>
  <w15:docId w15:val="{FE077741-5AC1-431C-B9D5-6FD25A7B9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48A1"/>
    <w:pPr>
      <w:spacing w:after="200" w:line="276" w:lineRule="auto"/>
    </w:pPr>
    <w:rPr>
      <w:rFonts w:ascii="Eras Medium ITC" w:hAnsi="Eras Medium ITC"/>
      <w:sz w:val="22"/>
      <w:szCs w:val="22"/>
    </w:rPr>
  </w:style>
  <w:style w:type="paragraph" w:styleId="Heading1">
    <w:name w:val="heading 1"/>
    <w:basedOn w:val="Normal"/>
    <w:next w:val="Normal"/>
    <w:link w:val="Heading1Char"/>
    <w:qFormat/>
    <w:rsid w:val="00501379"/>
    <w:pPr>
      <w:keepNext/>
      <w:pageBreakBefore/>
      <w:pBdr>
        <w:top w:val="single" w:sz="4" w:space="1" w:color="auto"/>
        <w:bottom w:val="single" w:sz="4" w:space="1" w:color="auto"/>
      </w:pBdr>
      <w:spacing w:before="240" w:after="240" w:line="240" w:lineRule="auto"/>
      <w:outlineLvl w:val="0"/>
    </w:pPr>
    <w:rPr>
      <w:rFonts w:ascii="Arial" w:eastAsia="Times New Roman" w:hAnsi="Arial" w:cs="Arial"/>
      <w:b/>
      <w:bCs/>
      <w:kern w:val="32"/>
      <w:sz w:val="44"/>
      <w:szCs w:val="32"/>
    </w:rPr>
  </w:style>
  <w:style w:type="paragraph" w:styleId="Heading2">
    <w:name w:val="heading 2"/>
    <w:basedOn w:val="MediumGrid21"/>
    <w:next w:val="Normal"/>
    <w:link w:val="Heading2Char"/>
    <w:uiPriority w:val="9"/>
    <w:qFormat/>
    <w:rsid w:val="004748A1"/>
    <w:pPr>
      <w:spacing w:before="240" w:after="120"/>
      <w:jc w:val="both"/>
      <w:outlineLvl w:val="1"/>
    </w:pPr>
    <w:rPr>
      <w:rFonts w:ascii="Calibri" w:hAnsi="Calibr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018"/>
  </w:style>
  <w:style w:type="paragraph" w:styleId="Footer">
    <w:name w:val="footer"/>
    <w:basedOn w:val="Normal"/>
    <w:link w:val="FooterChar"/>
    <w:uiPriority w:val="99"/>
    <w:unhideWhenUsed/>
    <w:rsid w:val="00B35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018"/>
  </w:style>
  <w:style w:type="paragraph" w:styleId="BalloonText">
    <w:name w:val="Balloon Text"/>
    <w:basedOn w:val="Normal"/>
    <w:link w:val="BalloonTextChar"/>
    <w:uiPriority w:val="99"/>
    <w:semiHidden/>
    <w:unhideWhenUsed/>
    <w:rsid w:val="00B3501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35018"/>
    <w:rPr>
      <w:rFonts w:ascii="Tahoma" w:hAnsi="Tahoma" w:cs="Tahoma"/>
      <w:sz w:val="16"/>
      <w:szCs w:val="16"/>
    </w:rPr>
  </w:style>
  <w:style w:type="paragraph" w:styleId="NoSpacing">
    <w:name w:val="No Spacing"/>
    <w:uiPriority w:val="1"/>
    <w:qFormat/>
    <w:rsid w:val="00F5718F"/>
    <w:rPr>
      <w:sz w:val="22"/>
      <w:szCs w:val="22"/>
    </w:rPr>
  </w:style>
  <w:style w:type="character" w:styleId="CommentReference">
    <w:name w:val="annotation reference"/>
    <w:uiPriority w:val="99"/>
    <w:semiHidden/>
    <w:unhideWhenUsed/>
    <w:rsid w:val="00BB217C"/>
    <w:rPr>
      <w:sz w:val="16"/>
      <w:szCs w:val="16"/>
    </w:rPr>
  </w:style>
  <w:style w:type="paragraph" w:styleId="CommentText">
    <w:name w:val="annotation text"/>
    <w:basedOn w:val="Normal"/>
    <w:link w:val="CommentTextChar"/>
    <w:uiPriority w:val="99"/>
    <w:semiHidden/>
    <w:unhideWhenUsed/>
    <w:rsid w:val="00BB217C"/>
    <w:rPr>
      <w:sz w:val="20"/>
      <w:szCs w:val="20"/>
    </w:rPr>
  </w:style>
  <w:style w:type="character" w:customStyle="1" w:styleId="CommentTextChar">
    <w:name w:val="Comment Text Char"/>
    <w:link w:val="CommentText"/>
    <w:uiPriority w:val="99"/>
    <w:semiHidden/>
    <w:rsid w:val="00BB217C"/>
    <w:rPr>
      <w:rFonts w:ascii="Eras Medium ITC" w:hAnsi="Eras Medium ITC"/>
    </w:rPr>
  </w:style>
  <w:style w:type="paragraph" w:styleId="CommentSubject">
    <w:name w:val="annotation subject"/>
    <w:basedOn w:val="CommentText"/>
    <w:next w:val="CommentText"/>
    <w:link w:val="CommentSubjectChar"/>
    <w:uiPriority w:val="99"/>
    <w:semiHidden/>
    <w:unhideWhenUsed/>
    <w:rsid w:val="00BB217C"/>
    <w:rPr>
      <w:b/>
      <w:bCs/>
    </w:rPr>
  </w:style>
  <w:style w:type="character" w:customStyle="1" w:styleId="CommentSubjectChar">
    <w:name w:val="Comment Subject Char"/>
    <w:link w:val="CommentSubject"/>
    <w:uiPriority w:val="99"/>
    <w:semiHidden/>
    <w:rsid w:val="00BB217C"/>
    <w:rPr>
      <w:rFonts w:ascii="Eras Medium ITC" w:hAnsi="Eras Medium ITC"/>
      <w:b/>
      <w:bCs/>
    </w:rPr>
  </w:style>
  <w:style w:type="character" w:styleId="Hyperlink">
    <w:name w:val="Hyperlink"/>
    <w:uiPriority w:val="99"/>
    <w:unhideWhenUsed/>
    <w:rsid w:val="00BC67B1"/>
    <w:rPr>
      <w:color w:val="0000FF"/>
      <w:u w:val="single"/>
    </w:rPr>
  </w:style>
  <w:style w:type="paragraph" w:customStyle="1" w:styleId="MediumGrid21">
    <w:name w:val="Medium Grid 21"/>
    <w:uiPriority w:val="1"/>
    <w:qFormat/>
    <w:rsid w:val="003834B4"/>
    <w:rPr>
      <w:rFonts w:ascii="Eras Medium ITC" w:hAnsi="Eras Medium ITC"/>
      <w:sz w:val="22"/>
      <w:szCs w:val="22"/>
    </w:rPr>
  </w:style>
  <w:style w:type="paragraph" w:styleId="FootnoteText">
    <w:name w:val="footnote text"/>
    <w:basedOn w:val="Normal"/>
    <w:link w:val="FootnoteTextChar"/>
    <w:uiPriority w:val="99"/>
    <w:semiHidden/>
    <w:unhideWhenUsed/>
    <w:rsid w:val="003834B4"/>
    <w:pPr>
      <w:spacing w:after="0" w:line="240" w:lineRule="auto"/>
    </w:pPr>
    <w:rPr>
      <w:sz w:val="20"/>
      <w:szCs w:val="20"/>
    </w:rPr>
  </w:style>
  <w:style w:type="character" w:customStyle="1" w:styleId="FootnoteTextChar">
    <w:name w:val="Footnote Text Char"/>
    <w:link w:val="FootnoteText"/>
    <w:uiPriority w:val="99"/>
    <w:semiHidden/>
    <w:rsid w:val="003834B4"/>
    <w:rPr>
      <w:rFonts w:ascii="Eras Medium ITC" w:hAnsi="Eras Medium ITC"/>
    </w:rPr>
  </w:style>
  <w:style w:type="character" w:styleId="FootnoteReference">
    <w:name w:val="footnote reference"/>
    <w:uiPriority w:val="99"/>
    <w:semiHidden/>
    <w:unhideWhenUsed/>
    <w:rsid w:val="003834B4"/>
    <w:rPr>
      <w:vertAlign w:val="superscript"/>
    </w:rPr>
  </w:style>
  <w:style w:type="paragraph" w:styleId="ListParagraph">
    <w:name w:val="List Paragraph"/>
    <w:basedOn w:val="Normal"/>
    <w:uiPriority w:val="34"/>
    <w:qFormat/>
    <w:rsid w:val="004C3371"/>
    <w:pPr>
      <w:ind w:left="720"/>
    </w:pPr>
  </w:style>
  <w:style w:type="paragraph" w:styleId="Title">
    <w:name w:val="Title"/>
    <w:basedOn w:val="Normal"/>
    <w:next w:val="Normal"/>
    <w:link w:val="TitleChar"/>
    <w:uiPriority w:val="10"/>
    <w:qFormat/>
    <w:rsid w:val="000B215E"/>
    <w:pPr>
      <w:spacing w:after="0" w:line="240" w:lineRule="auto"/>
      <w:contextualSpacing/>
    </w:pPr>
    <w:rPr>
      <w:rFonts w:ascii="Arial" w:eastAsia="Times New Roman" w:hAnsi="Arial"/>
      <w:spacing w:val="-10"/>
      <w:kern w:val="28"/>
      <w:sz w:val="56"/>
      <w:szCs w:val="56"/>
    </w:rPr>
  </w:style>
  <w:style w:type="character" w:customStyle="1" w:styleId="TitleChar">
    <w:name w:val="Title Char"/>
    <w:basedOn w:val="DefaultParagraphFont"/>
    <w:link w:val="Title"/>
    <w:uiPriority w:val="10"/>
    <w:rsid w:val="000B215E"/>
    <w:rPr>
      <w:rFonts w:ascii="Arial" w:eastAsia="Times New Roman" w:hAnsi="Arial"/>
      <w:spacing w:val="-10"/>
      <w:kern w:val="28"/>
      <w:sz w:val="56"/>
      <w:szCs w:val="56"/>
    </w:rPr>
  </w:style>
  <w:style w:type="paragraph" w:styleId="Subtitle">
    <w:name w:val="Subtitle"/>
    <w:basedOn w:val="Normal"/>
    <w:next w:val="Normal"/>
    <w:link w:val="SubtitleChar"/>
    <w:uiPriority w:val="11"/>
    <w:qFormat/>
    <w:rsid w:val="000B215E"/>
    <w:pPr>
      <w:numPr>
        <w:ilvl w:val="1"/>
      </w:numPr>
      <w:spacing w:after="160"/>
    </w:pPr>
    <w:rPr>
      <w:rFonts w:ascii="Arial" w:eastAsia="Times New Roman" w:hAnsi="Arial"/>
      <w:spacing w:val="15"/>
      <w:sz w:val="32"/>
    </w:rPr>
  </w:style>
  <w:style w:type="character" w:customStyle="1" w:styleId="SubtitleChar">
    <w:name w:val="Subtitle Char"/>
    <w:basedOn w:val="DefaultParagraphFont"/>
    <w:link w:val="Subtitle"/>
    <w:uiPriority w:val="11"/>
    <w:rsid w:val="000B215E"/>
    <w:rPr>
      <w:rFonts w:ascii="Arial" w:eastAsia="Times New Roman" w:hAnsi="Arial"/>
      <w:spacing w:val="15"/>
      <w:sz w:val="32"/>
      <w:szCs w:val="22"/>
    </w:rPr>
  </w:style>
  <w:style w:type="paragraph" w:customStyle="1" w:styleId="Default">
    <w:name w:val="Default"/>
    <w:rsid w:val="00A80718"/>
    <w:pPr>
      <w:autoSpaceDE w:val="0"/>
      <w:autoSpaceDN w:val="0"/>
      <w:adjustRightInd w:val="0"/>
    </w:pPr>
    <w:rPr>
      <w:rFonts w:cs="Calibri"/>
      <w:color w:val="000000"/>
      <w:sz w:val="24"/>
      <w:szCs w:val="24"/>
    </w:rPr>
  </w:style>
  <w:style w:type="character" w:customStyle="1" w:styleId="Heading1Char">
    <w:name w:val="Heading 1 Char"/>
    <w:basedOn w:val="DefaultParagraphFont"/>
    <w:link w:val="Heading1"/>
    <w:rsid w:val="00501379"/>
    <w:rPr>
      <w:rFonts w:ascii="Arial" w:eastAsia="Times New Roman" w:hAnsi="Arial" w:cs="Arial"/>
      <w:b/>
      <w:bCs/>
      <w:kern w:val="32"/>
      <w:sz w:val="44"/>
      <w:szCs w:val="32"/>
    </w:rPr>
  </w:style>
  <w:style w:type="character" w:customStyle="1" w:styleId="Heading2Char">
    <w:name w:val="Heading 2 Char"/>
    <w:basedOn w:val="DefaultParagraphFont"/>
    <w:link w:val="Heading2"/>
    <w:uiPriority w:val="9"/>
    <w:rsid w:val="004748A1"/>
    <w:rPr>
      <w:b/>
      <w:sz w:val="32"/>
      <w:szCs w:val="32"/>
    </w:rPr>
  </w:style>
  <w:style w:type="paragraph" w:styleId="Revision">
    <w:name w:val="Revision"/>
    <w:hidden/>
    <w:uiPriority w:val="99"/>
    <w:semiHidden/>
    <w:rsid w:val="00CF62C2"/>
    <w:rPr>
      <w:rFonts w:ascii="Eras Medium ITC" w:hAnsi="Eras Medium ITC"/>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62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120D1B9627874F919FA68D292E433D" ma:contentTypeVersion="2" ma:contentTypeDescription="Create a new document." ma:contentTypeScope="" ma:versionID="55033a35f013b8e54221fb280d03b848">
  <xsd:schema xmlns:xsd="http://www.w3.org/2001/XMLSchema" xmlns:xs="http://www.w3.org/2001/XMLSchema" xmlns:p="http://schemas.microsoft.com/office/2006/metadata/properties" xmlns:ns2="8b5420c0-7c9f-48e9-b5bf-2b405388e378" targetNamespace="http://schemas.microsoft.com/office/2006/metadata/properties" ma:root="true" ma:fieldsID="703cd91ecccf0f34ef752d18b3622996" ns2:_="">
    <xsd:import namespace="8b5420c0-7c9f-48e9-b5bf-2b405388e37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5420c0-7c9f-48e9-b5bf-2b405388e3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5915D6-D9DC-4E65-B1C2-99A3C48B5A8F}">
  <ds:schemaRefs>
    <ds:schemaRef ds:uri="http://schemas.microsoft.com/sharepoint/v3/contenttype/forms"/>
  </ds:schemaRefs>
</ds:datastoreItem>
</file>

<file path=customXml/itemProps2.xml><?xml version="1.0" encoding="utf-8"?>
<ds:datastoreItem xmlns:ds="http://schemas.openxmlformats.org/officeDocument/2006/customXml" ds:itemID="{7A191641-0EC5-4749-BAEE-1A6BE61FD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5420c0-7c9f-48e9-b5bf-2b405388e3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83346A-0DF1-4193-A214-4CE1F2149E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MBTA</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dwood</dc:creator>
  <cp:lastModifiedBy>Siddiqui, Aayesha</cp:lastModifiedBy>
  <cp:revision>2</cp:revision>
  <cp:lastPrinted>2018-08-08T16:45:00Z</cp:lastPrinted>
  <dcterms:created xsi:type="dcterms:W3CDTF">2018-08-14T14:16:00Z</dcterms:created>
  <dcterms:modified xsi:type="dcterms:W3CDTF">2018-08-14T14:16:00Z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0x0101008F120D1B9627874F919FA68D292E433D</vt:lpwstr>
  </property>
</Properties>
</file>