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6AE3E" w14:textId="77777777" w:rsidR="00A66EA3" w:rsidRPr="005E67D3" w:rsidRDefault="00373BD7" w:rsidP="00774293">
      <w:pPr>
        <w:pStyle w:val="Heading6"/>
        <w:framePr w:h="491" w:hRule="exact" w:wrap="auto" w:x="2955" w:y="-59"/>
        <w:spacing w:before="120"/>
        <w:jc w:val="both"/>
        <w:rPr>
          <w:sz w:val="36"/>
          <w:szCs w:val="36"/>
        </w:rPr>
      </w:pPr>
      <w:r>
        <w:rPr>
          <w:sz w:val="36"/>
          <w:szCs w:val="36"/>
        </w:rPr>
        <w:t xml:space="preserve"> </w:t>
      </w:r>
      <w:r w:rsidR="00A66EA3">
        <w:rPr>
          <w:sz w:val="36"/>
          <w:szCs w:val="36"/>
        </w:rPr>
        <w:t xml:space="preserve">  </w:t>
      </w:r>
      <w:r w:rsidR="00A66EA3" w:rsidRPr="005E67D3">
        <w:rPr>
          <w:sz w:val="36"/>
          <w:szCs w:val="36"/>
        </w:rPr>
        <w:t>Massachusetts Bay Transportation Authority</w:t>
      </w:r>
    </w:p>
    <w:p w14:paraId="56977FC0" w14:textId="77777777" w:rsidR="00A66EA3" w:rsidRPr="005E67D3" w:rsidRDefault="00A66EA3" w:rsidP="00774293">
      <w:pPr>
        <w:framePr w:hSpace="180" w:wrap="auto" w:vAnchor="text" w:hAnchor="page" w:x="1342" w:y="-1194"/>
        <w:spacing w:before="120"/>
        <w:jc w:val="center"/>
        <w:rPr>
          <w:noProof/>
          <w:sz w:val="24"/>
          <w:szCs w:val="24"/>
        </w:rPr>
      </w:pPr>
    </w:p>
    <w:p w14:paraId="028D4BB7" w14:textId="77777777" w:rsidR="00A558C6" w:rsidRDefault="00A558C6" w:rsidP="00A558C6">
      <w:pPr>
        <w:pStyle w:val="Heading4"/>
        <w:spacing w:before="120"/>
        <w:ind w:left="2880" w:firstLine="720"/>
        <w:jc w:val="left"/>
        <w:rPr>
          <w:sz w:val="28"/>
          <w:szCs w:val="28"/>
        </w:rPr>
      </w:pPr>
    </w:p>
    <w:p w14:paraId="400A5013" w14:textId="561768C0" w:rsidR="00A66EA3" w:rsidRPr="00F503C4" w:rsidRDefault="00F503C4" w:rsidP="005E2C05">
      <w:pPr>
        <w:pStyle w:val="Heading4"/>
        <w:spacing w:before="120"/>
        <w:ind w:left="2880" w:hanging="810"/>
        <w:jc w:val="left"/>
        <w:rPr>
          <w:sz w:val="28"/>
          <w:szCs w:val="28"/>
        </w:rPr>
      </w:pPr>
      <w:r w:rsidRPr="00A558C6">
        <w:rPr>
          <w:noProof/>
          <w:szCs w:val="24"/>
          <w:u w:val="single"/>
        </w:rPr>
        <w:drawing>
          <wp:anchor distT="0" distB="0" distL="114300" distR="114300" simplePos="0" relativeHeight="251659264" behindDoc="1" locked="0" layoutInCell="1" allowOverlap="1" wp14:anchorId="0DBFCCDD" wp14:editId="12230272">
            <wp:simplePos x="0" y="0"/>
            <wp:positionH relativeFrom="margin">
              <wp:posOffset>171450</wp:posOffset>
            </wp:positionH>
            <wp:positionV relativeFrom="margin">
              <wp:posOffset>-247650</wp:posOffset>
            </wp:positionV>
            <wp:extent cx="828675" cy="828675"/>
            <wp:effectExtent l="0" t="0" r="9525" b="9525"/>
            <wp:wrapTight wrapText="bothSides">
              <wp:wrapPolygon edited="0">
                <wp:start x="6952" y="0"/>
                <wp:lineTo x="3476" y="1490"/>
                <wp:lineTo x="0" y="5959"/>
                <wp:lineTo x="0" y="13407"/>
                <wp:lineTo x="497" y="16883"/>
                <wp:lineTo x="5959" y="20855"/>
                <wp:lineTo x="6952" y="21352"/>
                <wp:lineTo x="14400" y="21352"/>
                <wp:lineTo x="15393" y="20855"/>
                <wp:lineTo x="20855" y="16386"/>
                <wp:lineTo x="21352" y="11917"/>
                <wp:lineTo x="21352" y="5959"/>
                <wp:lineTo x="17379" y="1490"/>
                <wp:lineTo x="14400" y="0"/>
                <wp:lineTo x="695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5E2C05">
        <w:rPr>
          <w:sz w:val="28"/>
          <w:szCs w:val="28"/>
        </w:rPr>
        <w:tab/>
      </w:r>
      <w:r w:rsidR="00A66EA3" w:rsidRPr="005E67D3">
        <w:rPr>
          <w:sz w:val="28"/>
          <w:szCs w:val="28"/>
        </w:rPr>
        <w:t>POLICY/PROCEDURE</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520"/>
        <w:gridCol w:w="4860"/>
      </w:tblGrid>
      <w:tr w:rsidR="00A66EA3" w:rsidRPr="005E67D3" w14:paraId="469508EA" w14:textId="77777777" w:rsidTr="005E2C05">
        <w:trPr>
          <w:trHeight w:val="1254"/>
        </w:trPr>
        <w:tc>
          <w:tcPr>
            <w:tcW w:w="2160" w:type="dxa"/>
          </w:tcPr>
          <w:p w14:paraId="66AED060" w14:textId="77777777" w:rsidR="00A66EA3" w:rsidRPr="005E67D3" w:rsidRDefault="00A66EA3" w:rsidP="003409F7">
            <w:pPr>
              <w:spacing w:before="120"/>
              <w:jc w:val="center"/>
              <w:rPr>
                <w:b/>
                <w:sz w:val="24"/>
                <w:szCs w:val="24"/>
                <w:u w:val="single"/>
              </w:rPr>
            </w:pPr>
            <w:r w:rsidRPr="005E67D3">
              <w:rPr>
                <w:b/>
                <w:sz w:val="24"/>
                <w:szCs w:val="24"/>
                <w:u w:val="single"/>
              </w:rPr>
              <w:t>SUBJECT:</w:t>
            </w:r>
          </w:p>
          <w:p w14:paraId="5B7CED28" w14:textId="33FBFE70" w:rsidR="00A66EA3" w:rsidRPr="005E67D3" w:rsidRDefault="0016781C" w:rsidP="003409F7">
            <w:pPr>
              <w:pStyle w:val="BodyText3"/>
              <w:spacing w:before="120"/>
              <w:jc w:val="left"/>
              <w:rPr>
                <w:bCs/>
                <w:szCs w:val="24"/>
              </w:rPr>
            </w:pPr>
            <w:r>
              <w:rPr>
                <w:bCs/>
                <w:szCs w:val="24"/>
              </w:rPr>
              <w:t>Equity Analysis</w:t>
            </w:r>
            <w:r w:rsidR="003409F7">
              <w:rPr>
                <w:bCs/>
                <w:szCs w:val="24"/>
              </w:rPr>
              <w:t xml:space="preserve"> for Major Service and Fare Changes  </w:t>
            </w:r>
          </w:p>
        </w:tc>
        <w:tc>
          <w:tcPr>
            <w:tcW w:w="2520" w:type="dxa"/>
          </w:tcPr>
          <w:p w14:paraId="62A30227" w14:textId="77777777" w:rsidR="00A66EA3" w:rsidRPr="005E67D3" w:rsidRDefault="00A66EA3" w:rsidP="003409F7">
            <w:pPr>
              <w:spacing w:before="120"/>
              <w:jc w:val="center"/>
              <w:rPr>
                <w:sz w:val="24"/>
                <w:szCs w:val="24"/>
                <w:u w:val="single"/>
              </w:rPr>
            </w:pPr>
            <w:r w:rsidRPr="005E67D3">
              <w:rPr>
                <w:b/>
                <w:sz w:val="24"/>
                <w:szCs w:val="24"/>
                <w:u w:val="single"/>
              </w:rPr>
              <w:t>DATE OF ISSUE</w:t>
            </w:r>
            <w:r w:rsidRPr="005E67D3">
              <w:rPr>
                <w:sz w:val="24"/>
                <w:szCs w:val="24"/>
                <w:u w:val="single"/>
              </w:rPr>
              <w:t>:</w:t>
            </w:r>
          </w:p>
          <w:p w14:paraId="655CDFAF" w14:textId="77777777" w:rsidR="003409F7" w:rsidRPr="003409F7" w:rsidRDefault="003409F7" w:rsidP="003409F7">
            <w:pPr>
              <w:spacing w:before="120"/>
              <w:jc w:val="center"/>
              <w:rPr>
                <w:b/>
                <w:sz w:val="16"/>
                <w:szCs w:val="16"/>
              </w:rPr>
            </w:pPr>
          </w:p>
          <w:p w14:paraId="22967E37" w14:textId="56BA6D2B" w:rsidR="00A66EA3" w:rsidRPr="000131CB" w:rsidRDefault="0016781C" w:rsidP="003409F7">
            <w:pPr>
              <w:spacing w:before="120"/>
              <w:jc w:val="center"/>
              <w:rPr>
                <w:b/>
                <w:sz w:val="24"/>
                <w:szCs w:val="24"/>
                <w:highlight w:val="yellow"/>
              </w:rPr>
            </w:pPr>
            <w:r w:rsidRPr="0016781C">
              <w:rPr>
                <w:b/>
                <w:sz w:val="24"/>
                <w:szCs w:val="24"/>
              </w:rPr>
              <w:t>January 30, 2017</w:t>
            </w:r>
          </w:p>
        </w:tc>
        <w:tc>
          <w:tcPr>
            <w:tcW w:w="4860" w:type="dxa"/>
          </w:tcPr>
          <w:p w14:paraId="0274DAFA" w14:textId="4B941E82" w:rsidR="00A66EA3" w:rsidRPr="005E67D3" w:rsidRDefault="005E2C05" w:rsidP="003409F7">
            <w:pPr>
              <w:pStyle w:val="Heading3"/>
              <w:spacing w:before="120"/>
              <w:jc w:val="center"/>
              <w:rPr>
                <w:sz w:val="24"/>
                <w:szCs w:val="24"/>
              </w:rPr>
            </w:pPr>
            <w:r>
              <w:rPr>
                <w:b/>
                <w:sz w:val="24"/>
                <w:szCs w:val="24"/>
              </w:rPr>
              <w:t>APPROVED BY:</w:t>
            </w:r>
          </w:p>
          <w:p w14:paraId="4BCB2696" w14:textId="52599DDF" w:rsidR="005E2C05" w:rsidRPr="00696A12" w:rsidRDefault="00696A12" w:rsidP="009A6F70">
            <w:pPr>
              <w:spacing w:before="120"/>
              <w:jc w:val="center"/>
              <w:rPr>
                <w:b/>
                <w:sz w:val="24"/>
                <w:szCs w:val="24"/>
              </w:rPr>
            </w:pPr>
            <w:r w:rsidRPr="00696A12">
              <w:rPr>
                <w:b/>
                <w:sz w:val="24"/>
                <w:szCs w:val="24"/>
              </w:rPr>
              <w:t>Signature on O</w:t>
            </w:r>
            <w:r w:rsidR="009A6F70" w:rsidRPr="00696A12">
              <w:rPr>
                <w:b/>
                <w:sz w:val="24"/>
                <w:szCs w:val="24"/>
              </w:rPr>
              <w:t>riginal</w:t>
            </w:r>
          </w:p>
          <w:p w14:paraId="580157E0" w14:textId="1D66277F" w:rsidR="005E2C05" w:rsidRPr="005E67D3" w:rsidRDefault="005E2C05" w:rsidP="005E2C05">
            <w:pPr>
              <w:spacing w:before="120"/>
              <w:rPr>
                <w:b/>
                <w:sz w:val="24"/>
                <w:szCs w:val="24"/>
              </w:rPr>
            </w:pPr>
            <w:r>
              <w:rPr>
                <w:b/>
                <w:sz w:val="24"/>
                <w:szCs w:val="24"/>
              </w:rPr>
              <w:t>Brian Shortsleeve, Acting General Manager</w:t>
            </w:r>
          </w:p>
        </w:tc>
      </w:tr>
    </w:tbl>
    <w:p w14:paraId="6952F816" w14:textId="30F9305F" w:rsidR="005E2C05" w:rsidRPr="003409F7" w:rsidRDefault="005E2C05" w:rsidP="00774293">
      <w:pPr>
        <w:spacing w:before="120"/>
        <w:jc w:val="center"/>
        <w:rPr>
          <w:rFonts w:ascii="Calibri" w:hAnsi="Calibri"/>
          <w:b/>
          <w:sz w:val="16"/>
          <w:szCs w:val="16"/>
        </w:rPr>
      </w:pPr>
      <w:r>
        <w:rPr>
          <w:rFonts w:ascii="Calibri" w:hAnsi="Calibri"/>
          <w:b/>
          <w:sz w:val="36"/>
          <w:szCs w:val="36"/>
        </w:rPr>
        <w:tab/>
      </w:r>
      <w:r w:rsidRPr="003409F7">
        <w:rPr>
          <w:rFonts w:ascii="Calibri" w:hAnsi="Calibri"/>
          <w:b/>
          <w:sz w:val="16"/>
          <w:szCs w:val="16"/>
        </w:rPr>
        <w:tab/>
      </w:r>
    </w:p>
    <w:p w14:paraId="2D1AD1FF" w14:textId="77777777" w:rsidR="0024293D" w:rsidRPr="0024293D" w:rsidRDefault="0024293D" w:rsidP="00774293">
      <w:pPr>
        <w:spacing w:before="120"/>
        <w:jc w:val="center"/>
        <w:rPr>
          <w:rFonts w:ascii="Calibri" w:hAnsi="Calibri"/>
          <w:b/>
          <w:sz w:val="36"/>
          <w:szCs w:val="36"/>
        </w:rPr>
      </w:pPr>
      <w:r w:rsidRPr="0024293D">
        <w:rPr>
          <w:rFonts w:ascii="Calibri" w:hAnsi="Calibri"/>
          <w:b/>
          <w:sz w:val="36"/>
          <w:szCs w:val="36"/>
        </w:rPr>
        <w:t>Disparate Impact/Disproportionate Burden (DI/DB) Policy</w:t>
      </w:r>
    </w:p>
    <w:p w14:paraId="78F6F60E" w14:textId="77777777" w:rsidR="0024293D" w:rsidRPr="0024293D" w:rsidRDefault="0024293D" w:rsidP="00774293">
      <w:pPr>
        <w:spacing w:before="120"/>
        <w:rPr>
          <w:rFonts w:ascii="Calibri" w:hAnsi="Calibri"/>
          <w:sz w:val="16"/>
          <w:szCs w:val="16"/>
        </w:rPr>
      </w:pPr>
    </w:p>
    <w:p w14:paraId="354A6FCC" w14:textId="77777777" w:rsidR="0024293D" w:rsidRPr="0024293D" w:rsidRDefault="0024293D" w:rsidP="00774293">
      <w:pPr>
        <w:spacing w:before="120"/>
        <w:rPr>
          <w:rFonts w:ascii="Calibri" w:hAnsi="Calibri"/>
          <w:b/>
          <w:sz w:val="28"/>
          <w:szCs w:val="24"/>
        </w:rPr>
      </w:pPr>
      <w:r w:rsidRPr="0024293D">
        <w:rPr>
          <w:rFonts w:ascii="Calibri" w:hAnsi="Calibri"/>
          <w:b/>
          <w:sz w:val="28"/>
          <w:szCs w:val="24"/>
        </w:rPr>
        <w:t xml:space="preserve">Requirement </w:t>
      </w:r>
    </w:p>
    <w:p w14:paraId="06155AC9" w14:textId="77777777" w:rsidR="0024293D" w:rsidRPr="0024293D" w:rsidRDefault="0024293D" w:rsidP="00774293">
      <w:pPr>
        <w:spacing w:before="120"/>
        <w:rPr>
          <w:rFonts w:ascii="Calibri" w:hAnsi="Calibri"/>
          <w:sz w:val="24"/>
          <w:szCs w:val="24"/>
        </w:rPr>
      </w:pPr>
      <w:r w:rsidRPr="0024293D">
        <w:rPr>
          <w:rFonts w:ascii="Calibri" w:hAnsi="Calibri"/>
          <w:sz w:val="24"/>
          <w:szCs w:val="24"/>
        </w:rPr>
        <w:t xml:space="preserve">The Federal Transit Administration’s (FTA) Title VI Circular 4702.1B, issued in October 2012, under the authority of Title VI of the Civil Rights Act of 1964 (Title VI), directs transit providers to study proposed major service changes and all fare changes for possible disparities in impacts on minority and low-income riders/communities. </w:t>
      </w:r>
    </w:p>
    <w:p w14:paraId="7C4875A8" w14:textId="425D6EA8" w:rsidR="0024293D" w:rsidRPr="0024293D" w:rsidRDefault="0024293D" w:rsidP="00774293">
      <w:pPr>
        <w:spacing w:before="120"/>
        <w:rPr>
          <w:rFonts w:ascii="Calibri" w:hAnsi="Calibri"/>
          <w:sz w:val="24"/>
          <w:szCs w:val="24"/>
        </w:rPr>
      </w:pPr>
      <w:r w:rsidRPr="0024293D">
        <w:rPr>
          <w:rFonts w:ascii="Calibri" w:hAnsi="Calibri"/>
          <w:sz w:val="24"/>
          <w:szCs w:val="24"/>
        </w:rPr>
        <w:t>This requirement is part of the Massachusetts Bay Transportation Authority’s (MBTA) Title VI assurance that no person shall, on the basis of race, color, or national origin, be excluded from participation in, be denied the benefits of, or be otherwise subjected to discrimination under any program or activity receiving Federal financia</w:t>
      </w:r>
      <w:bookmarkStart w:id="0" w:name="_GoBack"/>
      <w:bookmarkEnd w:id="0"/>
      <w:r w:rsidRPr="0024293D">
        <w:rPr>
          <w:rFonts w:ascii="Calibri" w:hAnsi="Calibri"/>
          <w:sz w:val="24"/>
          <w:szCs w:val="24"/>
        </w:rPr>
        <w:t>l assistance. 42 U.S.C. § 2000d et seq., and the Civil Rights Restoration Act of 1987 (P.L. 100.259).</w:t>
      </w:r>
    </w:p>
    <w:p w14:paraId="40535EC9" w14:textId="77777777" w:rsidR="0039223F" w:rsidRPr="003409F7" w:rsidRDefault="0039223F" w:rsidP="00774293">
      <w:pPr>
        <w:spacing w:before="120"/>
        <w:rPr>
          <w:rFonts w:ascii="Calibri" w:hAnsi="Calibri"/>
          <w:b/>
          <w:sz w:val="16"/>
          <w:szCs w:val="16"/>
        </w:rPr>
      </w:pPr>
    </w:p>
    <w:p w14:paraId="02D6A76B" w14:textId="77777777" w:rsidR="0024293D" w:rsidRPr="0024293D" w:rsidRDefault="0024293D" w:rsidP="00774293">
      <w:pPr>
        <w:spacing w:before="120"/>
        <w:rPr>
          <w:rFonts w:ascii="Calibri" w:hAnsi="Calibri"/>
          <w:b/>
          <w:sz w:val="28"/>
          <w:szCs w:val="24"/>
        </w:rPr>
      </w:pPr>
      <w:r w:rsidRPr="0024293D">
        <w:rPr>
          <w:rFonts w:ascii="Calibri" w:hAnsi="Calibri"/>
          <w:b/>
          <w:sz w:val="28"/>
          <w:szCs w:val="24"/>
        </w:rPr>
        <w:t>Purpose</w:t>
      </w:r>
    </w:p>
    <w:p w14:paraId="7EFAF506" w14:textId="77777777" w:rsidR="00EC55B5" w:rsidRDefault="0024293D" w:rsidP="00774293">
      <w:pPr>
        <w:spacing w:before="120"/>
        <w:rPr>
          <w:rFonts w:ascii="Calibri" w:hAnsi="Calibri"/>
          <w:sz w:val="24"/>
          <w:szCs w:val="24"/>
        </w:rPr>
      </w:pPr>
      <w:r w:rsidRPr="0024293D">
        <w:rPr>
          <w:rFonts w:ascii="Calibri" w:hAnsi="Calibri"/>
          <w:sz w:val="24"/>
          <w:szCs w:val="24"/>
        </w:rPr>
        <w:t xml:space="preserve">This policy satisfies FTA’s requirement </w:t>
      </w:r>
      <w:r w:rsidR="0052013D">
        <w:rPr>
          <w:rFonts w:ascii="Calibri" w:hAnsi="Calibri"/>
          <w:sz w:val="24"/>
          <w:szCs w:val="24"/>
        </w:rPr>
        <w:t>under</w:t>
      </w:r>
      <w:r w:rsidRPr="0024293D">
        <w:rPr>
          <w:rFonts w:ascii="Calibri" w:hAnsi="Calibri"/>
          <w:sz w:val="24"/>
          <w:szCs w:val="24"/>
        </w:rPr>
        <w:t xml:space="preserve"> Title VI Circular 4702.1B, chapter IV, section 7, to evaluate, prior to implementation, any and all service changes that exceed the MBTA’s major service change threshold, as well as all fare changes, to determine whether those changes </w:t>
      </w:r>
      <w:r w:rsidR="004B7B0A">
        <w:rPr>
          <w:rFonts w:ascii="Calibri" w:hAnsi="Calibri"/>
          <w:sz w:val="24"/>
          <w:szCs w:val="24"/>
        </w:rPr>
        <w:t>may</w:t>
      </w:r>
      <w:r w:rsidR="004B7B0A" w:rsidRPr="0024293D">
        <w:rPr>
          <w:rFonts w:ascii="Calibri" w:hAnsi="Calibri"/>
          <w:sz w:val="24"/>
          <w:szCs w:val="24"/>
        </w:rPr>
        <w:t xml:space="preserve"> </w:t>
      </w:r>
      <w:r w:rsidRPr="0024293D">
        <w:rPr>
          <w:rFonts w:ascii="Calibri" w:hAnsi="Calibri"/>
          <w:sz w:val="24"/>
          <w:szCs w:val="24"/>
        </w:rPr>
        <w:t xml:space="preserve">have a discriminatory impact based </w:t>
      </w:r>
      <w:r w:rsidR="00A239ED">
        <w:rPr>
          <w:rFonts w:ascii="Calibri" w:hAnsi="Calibri"/>
          <w:sz w:val="24"/>
          <w:szCs w:val="24"/>
        </w:rPr>
        <w:t>on</w:t>
      </w:r>
      <w:r w:rsidRPr="0024293D">
        <w:rPr>
          <w:rFonts w:ascii="Calibri" w:hAnsi="Calibri"/>
          <w:sz w:val="24"/>
          <w:szCs w:val="24"/>
        </w:rPr>
        <w:t xml:space="preserve"> </w:t>
      </w:r>
      <w:r w:rsidR="00302084">
        <w:rPr>
          <w:rFonts w:ascii="Calibri" w:hAnsi="Calibri"/>
          <w:sz w:val="24"/>
          <w:szCs w:val="24"/>
        </w:rPr>
        <w:t xml:space="preserve">the finding of an adverse effect linked to </w:t>
      </w:r>
      <w:r w:rsidRPr="0024293D">
        <w:rPr>
          <w:rFonts w:ascii="Calibri" w:hAnsi="Calibri"/>
          <w:sz w:val="24"/>
          <w:szCs w:val="24"/>
        </w:rPr>
        <w:t>race, color, or national origin</w:t>
      </w:r>
      <w:r w:rsidR="00FB1B7C">
        <w:rPr>
          <w:rFonts w:ascii="Calibri" w:hAnsi="Calibri"/>
          <w:sz w:val="24"/>
          <w:szCs w:val="24"/>
        </w:rPr>
        <w:t>, and/or a disproportionate burden, based</w:t>
      </w:r>
      <w:r w:rsidR="00831657">
        <w:rPr>
          <w:rFonts w:ascii="Calibri" w:hAnsi="Calibri"/>
          <w:sz w:val="24"/>
          <w:szCs w:val="24"/>
        </w:rPr>
        <w:t xml:space="preserve"> on</w:t>
      </w:r>
      <w:r w:rsidR="00FB1B7C">
        <w:rPr>
          <w:rFonts w:ascii="Calibri" w:hAnsi="Calibri"/>
          <w:sz w:val="24"/>
          <w:szCs w:val="24"/>
        </w:rPr>
        <w:t xml:space="preserve"> </w:t>
      </w:r>
      <w:r w:rsidR="00302084">
        <w:rPr>
          <w:rFonts w:ascii="Calibri" w:hAnsi="Calibri"/>
          <w:sz w:val="24"/>
          <w:szCs w:val="24"/>
        </w:rPr>
        <w:t xml:space="preserve">the finding of an adverse effect linked to </w:t>
      </w:r>
      <w:r w:rsidR="00FB1B7C">
        <w:rPr>
          <w:rFonts w:ascii="Calibri" w:hAnsi="Calibri"/>
          <w:sz w:val="24"/>
          <w:szCs w:val="24"/>
        </w:rPr>
        <w:t>minority or low-income status</w:t>
      </w:r>
      <w:r w:rsidRPr="0024293D">
        <w:rPr>
          <w:rFonts w:ascii="Calibri" w:hAnsi="Calibri"/>
          <w:sz w:val="24"/>
          <w:szCs w:val="24"/>
        </w:rPr>
        <w:t xml:space="preserve">. All FTA requirements for conducting equity analyses are listed in Chapter IV, Section 7 of C4702.1B, and are addressed within this policy, including the definition of Major Service Change, Adverse Effects, Disparate Impact, and Disproportionate Burden. Explanations for all relevant terms and concepts related to this policy are provided in the Definitions section, below. </w:t>
      </w:r>
    </w:p>
    <w:p w14:paraId="06C201F0" w14:textId="7BF3F7B0" w:rsidR="0024293D" w:rsidRPr="0024293D" w:rsidRDefault="0024293D" w:rsidP="00774293">
      <w:pPr>
        <w:spacing w:before="120"/>
        <w:rPr>
          <w:rFonts w:ascii="Calibri" w:hAnsi="Calibri"/>
          <w:sz w:val="24"/>
          <w:szCs w:val="24"/>
        </w:rPr>
      </w:pPr>
      <w:r w:rsidRPr="0024293D">
        <w:rPr>
          <w:rFonts w:ascii="Calibri" w:hAnsi="Calibri"/>
          <w:sz w:val="24"/>
          <w:szCs w:val="24"/>
        </w:rPr>
        <w:t xml:space="preserve">It is important to note that the unique nature of transit </w:t>
      </w:r>
      <w:r w:rsidR="004B7B0A">
        <w:rPr>
          <w:rFonts w:ascii="Calibri" w:hAnsi="Calibri"/>
          <w:sz w:val="24"/>
          <w:szCs w:val="24"/>
        </w:rPr>
        <w:t xml:space="preserve">fare and service </w:t>
      </w:r>
      <w:r w:rsidRPr="0024293D">
        <w:rPr>
          <w:rFonts w:ascii="Calibri" w:hAnsi="Calibri"/>
          <w:sz w:val="24"/>
          <w:szCs w:val="24"/>
        </w:rPr>
        <w:t>changes and the data used in given instances</w:t>
      </w:r>
      <w:r w:rsidR="00FA488E">
        <w:rPr>
          <w:rFonts w:ascii="Calibri" w:hAnsi="Calibri"/>
          <w:sz w:val="24"/>
          <w:szCs w:val="24"/>
        </w:rPr>
        <w:t xml:space="preserve"> - - for example the appropriate population or ridership data -- </w:t>
      </w:r>
      <w:r w:rsidRPr="0024293D">
        <w:rPr>
          <w:rFonts w:ascii="Calibri" w:hAnsi="Calibri"/>
          <w:sz w:val="24"/>
          <w:szCs w:val="24"/>
        </w:rPr>
        <w:t xml:space="preserve">will vary in order to ensure statistical reliability and significance. </w:t>
      </w:r>
      <w:r w:rsidR="00A239ED">
        <w:rPr>
          <w:rFonts w:ascii="Calibri" w:hAnsi="Calibri"/>
          <w:sz w:val="24"/>
          <w:szCs w:val="24"/>
        </w:rPr>
        <w:t>For th</w:t>
      </w:r>
      <w:r w:rsidR="00FB1B7C">
        <w:rPr>
          <w:rFonts w:ascii="Calibri" w:hAnsi="Calibri"/>
          <w:sz w:val="24"/>
          <w:szCs w:val="24"/>
        </w:rPr>
        <w:t>i</w:t>
      </w:r>
      <w:r w:rsidR="00A239ED">
        <w:rPr>
          <w:rFonts w:ascii="Calibri" w:hAnsi="Calibri"/>
          <w:sz w:val="24"/>
          <w:szCs w:val="24"/>
        </w:rPr>
        <w:t xml:space="preserve">s reason, MBTA </w:t>
      </w:r>
      <w:r w:rsidR="00FB1B7C">
        <w:rPr>
          <w:rFonts w:ascii="Calibri" w:hAnsi="Calibri"/>
          <w:sz w:val="24"/>
          <w:szCs w:val="24"/>
        </w:rPr>
        <w:t xml:space="preserve">exercises </w:t>
      </w:r>
      <w:r w:rsidR="00A239ED">
        <w:rPr>
          <w:rFonts w:ascii="Calibri" w:hAnsi="Calibri"/>
          <w:sz w:val="24"/>
          <w:szCs w:val="24"/>
        </w:rPr>
        <w:t>the discretion</w:t>
      </w:r>
      <w:r w:rsidR="00FB1B7C">
        <w:rPr>
          <w:rFonts w:ascii="Calibri" w:hAnsi="Calibri"/>
          <w:sz w:val="24"/>
          <w:szCs w:val="24"/>
        </w:rPr>
        <w:t xml:space="preserve">, as needed, to consult with </w:t>
      </w:r>
      <w:r w:rsidR="00A239ED">
        <w:rPr>
          <w:rFonts w:ascii="Calibri" w:hAnsi="Calibri"/>
          <w:sz w:val="24"/>
          <w:szCs w:val="24"/>
        </w:rPr>
        <w:t xml:space="preserve">FTA representatives for technical assistance. </w:t>
      </w:r>
      <w:r w:rsidR="00FB1B7C">
        <w:rPr>
          <w:rFonts w:ascii="Calibri" w:hAnsi="Calibri"/>
          <w:sz w:val="24"/>
          <w:szCs w:val="24"/>
        </w:rPr>
        <w:t xml:space="preserve">FTA’s </w:t>
      </w:r>
      <w:r w:rsidR="00FB1B7C">
        <w:rPr>
          <w:rFonts w:ascii="Calibri" w:hAnsi="Calibri"/>
          <w:sz w:val="24"/>
          <w:szCs w:val="24"/>
        </w:rPr>
        <w:lastRenderedPageBreak/>
        <w:t>guidance recognizes that</w:t>
      </w:r>
      <w:r w:rsidRPr="0024293D">
        <w:rPr>
          <w:rFonts w:ascii="Calibri" w:hAnsi="Calibri"/>
          <w:sz w:val="24"/>
          <w:szCs w:val="24"/>
        </w:rPr>
        <w:t xml:space="preserve"> there must be flexibility in the selection of data for analysis, as “one size does not fit all” circumstances</w:t>
      </w:r>
      <w:r w:rsidR="00FB1B7C">
        <w:rPr>
          <w:rFonts w:ascii="Calibri" w:hAnsi="Calibri"/>
          <w:sz w:val="24"/>
          <w:szCs w:val="24"/>
        </w:rPr>
        <w:t xml:space="preserve"> of possible </w:t>
      </w:r>
      <w:r w:rsidR="004B7B0A">
        <w:rPr>
          <w:rFonts w:ascii="Calibri" w:hAnsi="Calibri"/>
          <w:sz w:val="24"/>
          <w:szCs w:val="24"/>
        </w:rPr>
        <w:t xml:space="preserve">transit fare and </w:t>
      </w:r>
      <w:r w:rsidR="00FB1B7C">
        <w:rPr>
          <w:rFonts w:ascii="Calibri" w:hAnsi="Calibri"/>
          <w:sz w:val="24"/>
          <w:szCs w:val="24"/>
        </w:rPr>
        <w:t>service changes. T</w:t>
      </w:r>
      <w:r w:rsidRPr="0024293D">
        <w:rPr>
          <w:rFonts w:ascii="Calibri" w:hAnsi="Calibri"/>
          <w:sz w:val="24"/>
          <w:szCs w:val="24"/>
        </w:rPr>
        <w:t xml:space="preserve">he </w:t>
      </w:r>
      <w:r w:rsidR="00FB1B7C">
        <w:rPr>
          <w:rFonts w:ascii="Calibri" w:hAnsi="Calibri"/>
          <w:sz w:val="24"/>
          <w:szCs w:val="24"/>
        </w:rPr>
        <w:t xml:space="preserve">guidance is further structured to ensure that a </w:t>
      </w:r>
      <w:r w:rsidRPr="0024293D">
        <w:rPr>
          <w:rFonts w:ascii="Calibri" w:hAnsi="Calibri"/>
          <w:sz w:val="24"/>
          <w:szCs w:val="24"/>
        </w:rPr>
        <w:t>combination of timely and reasonable analyses, vetted through public input and Board approval</w:t>
      </w:r>
      <w:r w:rsidR="00831657">
        <w:rPr>
          <w:rFonts w:ascii="Calibri" w:hAnsi="Calibri"/>
          <w:sz w:val="24"/>
          <w:szCs w:val="24"/>
        </w:rPr>
        <w:t>,</w:t>
      </w:r>
      <w:r w:rsidRPr="0024293D">
        <w:rPr>
          <w:rFonts w:ascii="Calibri" w:hAnsi="Calibri"/>
          <w:sz w:val="24"/>
          <w:szCs w:val="24"/>
        </w:rPr>
        <w:t xml:space="preserve"> will ultimately result in equitable decision-making.</w:t>
      </w:r>
      <w:r w:rsidR="00A239ED">
        <w:rPr>
          <w:rFonts w:ascii="Calibri" w:hAnsi="Calibri"/>
          <w:sz w:val="24"/>
          <w:szCs w:val="24"/>
        </w:rPr>
        <w:t xml:space="preserve"> </w:t>
      </w:r>
    </w:p>
    <w:p w14:paraId="5CBF464F" w14:textId="77777777" w:rsidR="003409F7" w:rsidRPr="003409F7" w:rsidRDefault="003409F7" w:rsidP="00774293">
      <w:pPr>
        <w:spacing w:before="120"/>
        <w:rPr>
          <w:rFonts w:ascii="Calibri" w:hAnsi="Calibri"/>
          <w:b/>
          <w:sz w:val="16"/>
          <w:szCs w:val="16"/>
        </w:rPr>
      </w:pPr>
    </w:p>
    <w:p w14:paraId="5BD1173F" w14:textId="77777777" w:rsidR="0024293D" w:rsidRPr="0024293D" w:rsidRDefault="0024293D" w:rsidP="00774293">
      <w:pPr>
        <w:spacing w:before="120"/>
        <w:rPr>
          <w:rFonts w:ascii="Calibri" w:hAnsi="Calibri"/>
          <w:b/>
          <w:sz w:val="28"/>
          <w:szCs w:val="24"/>
        </w:rPr>
      </w:pPr>
      <w:r w:rsidRPr="0024293D">
        <w:rPr>
          <w:rFonts w:ascii="Calibri" w:hAnsi="Calibri"/>
          <w:b/>
          <w:sz w:val="28"/>
          <w:szCs w:val="24"/>
        </w:rPr>
        <w:t xml:space="preserve">Scope </w:t>
      </w:r>
    </w:p>
    <w:p w14:paraId="7F75BB87" w14:textId="455AA3B2" w:rsidR="0024293D" w:rsidRPr="0024293D" w:rsidRDefault="0024293D" w:rsidP="00774293">
      <w:pPr>
        <w:spacing w:before="120"/>
        <w:rPr>
          <w:rFonts w:ascii="Calibri" w:hAnsi="Calibri"/>
          <w:sz w:val="24"/>
          <w:szCs w:val="24"/>
        </w:rPr>
      </w:pPr>
      <w:r w:rsidRPr="0024293D">
        <w:rPr>
          <w:rFonts w:ascii="Calibri" w:hAnsi="Calibri"/>
          <w:sz w:val="24"/>
          <w:szCs w:val="24"/>
        </w:rPr>
        <w:t>The requirement to analyze service and fare changes at the MBTA applies to proposed changes to the Authority’s fixed-route modes; these analyses are not required for demand-response modes</w:t>
      </w:r>
      <w:r w:rsidR="00A239ED">
        <w:rPr>
          <w:rFonts w:ascii="Calibri" w:hAnsi="Calibri"/>
          <w:sz w:val="24"/>
          <w:szCs w:val="24"/>
        </w:rPr>
        <w:t>, including paratransit</w:t>
      </w:r>
      <w:r w:rsidRPr="0024293D">
        <w:rPr>
          <w:rFonts w:ascii="Calibri" w:hAnsi="Calibri"/>
          <w:sz w:val="24"/>
          <w:szCs w:val="24"/>
        </w:rPr>
        <w:t xml:space="preserve">. </w:t>
      </w:r>
    </w:p>
    <w:p w14:paraId="76A6DD82" w14:textId="77777777" w:rsidR="0039223F" w:rsidRPr="0039223F" w:rsidRDefault="0039223F" w:rsidP="00774293">
      <w:pPr>
        <w:spacing w:before="120"/>
        <w:rPr>
          <w:rFonts w:ascii="Calibri" w:hAnsi="Calibri"/>
          <w:b/>
          <w:sz w:val="16"/>
          <w:szCs w:val="16"/>
        </w:rPr>
      </w:pPr>
    </w:p>
    <w:p w14:paraId="665E5C2B" w14:textId="6C6027C3" w:rsidR="0024293D" w:rsidRPr="0024293D" w:rsidRDefault="0024293D" w:rsidP="00774293">
      <w:pPr>
        <w:spacing w:before="120"/>
        <w:rPr>
          <w:rFonts w:ascii="Calibri" w:hAnsi="Calibri"/>
          <w:b/>
          <w:sz w:val="28"/>
          <w:szCs w:val="24"/>
        </w:rPr>
      </w:pPr>
      <w:r w:rsidRPr="0024293D">
        <w:rPr>
          <w:rFonts w:ascii="Calibri" w:hAnsi="Calibri"/>
          <w:b/>
          <w:sz w:val="28"/>
          <w:szCs w:val="24"/>
        </w:rPr>
        <w:t xml:space="preserve">Service Equity Analysis </w:t>
      </w:r>
    </w:p>
    <w:p w14:paraId="4D02D31C" w14:textId="77777777" w:rsidR="0024293D" w:rsidRPr="0024293D" w:rsidRDefault="0024293D" w:rsidP="00774293">
      <w:pPr>
        <w:spacing w:before="120"/>
        <w:rPr>
          <w:rFonts w:ascii="Calibri" w:hAnsi="Calibri"/>
          <w:sz w:val="24"/>
          <w:szCs w:val="24"/>
          <w:u w:val="single"/>
        </w:rPr>
      </w:pPr>
      <w:r w:rsidRPr="0024293D">
        <w:rPr>
          <w:rFonts w:ascii="Calibri" w:hAnsi="Calibri"/>
          <w:sz w:val="24"/>
          <w:szCs w:val="24"/>
          <w:u w:val="single"/>
        </w:rPr>
        <w:t>Major Service Change Policy</w:t>
      </w:r>
    </w:p>
    <w:p w14:paraId="0069ABD2" w14:textId="27BDA0F9" w:rsidR="0024293D" w:rsidRPr="0024293D" w:rsidRDefault="0024293D" w:rsidP="00774293">
      <w:pPr>
        <w:spacing w:before="120"/>
        <w:rPr>
          <w:rFonts w:ascii="Calibri" w:hAnsi="Calibri"/>
          <w:sz w:val="24"/>
          <w:szCs w:val="24"/>
        </w:rPr>
      </w:pPr>
      <w:r w:rsidRPr="0024293D">
        <w:rPr>
          <w:rFonts w:ascii="Calibri" w:hAnsi="Calibri"/>
          <w:sz w:val="24"/>
          <w:szCs w:val="24"/>
        </w:rPr>
        <w:t xml:space="preserve">Per FTA’s Title VI Circular 4702.1B, the MBTA is required to evaluate the impacts on minority and/or low-income populations of proposed “major” service changes to the Authority’s fixed-route services. </w:t>
      </w:r>
      <w:r w:rsidR="00FB1B7C">
        <w:rPr>
          <w:rFonts w:ascii="Calibri" w:hAnsi="Calibri"/>
          <w:sz w:val="24"/>
          <w:szCs w:val="24"/>
        </w:rPr>
        <w:t xml:space="preserve">Whether a </w:t>
      </w:r>
      <w:r w:rsidRPr="0024293D">
        <w:rPr>
          <w:rFonts w:ascii="Calibri" w:hAnsi="Calibri"/>
          <w:sz w:val="24"/>
          <w:szCs w:val="24"/>
        </w:rPr>
        <w:t xml:space="preserve">proposed service change </w:t>
      </w:r>
      <w:r w:rsidR="00FB1B7C">
        <w:rPr>
          <w:rFonts w:ascii="Calibri" w:hAnsi="Calibri"/>
          <w:sz w:val="24"/>
          <w:szCs w:val="24"/>
        </w:rPr>
        <w:t xml:space="preserve">will be considered </w:t>
      </w:r>
      <w:r w:rsidRPr="0024293D">
        <w:rPr>
          <w:rFonts w:ascii="Calibri" w:hAnsi="Calibri"/>
          <w:sz w:val="24"/>
          <w:szCs w:val="24"/>
        </w:rPr>
        <w:t xml:space="preserve">“major” depends on </w:t>
      </w:r>
      <w:r w:rsidR="00FB1B7C">
        <w:rPr>
          <w:rFonts w:ascii="Calibri" w:hAnsi="Calibri"/>
          <w:sz w:val="24"/>
          <w:szCs w:val="24"/>
        </w:rPr>
        <w:t xml:space="preserve">whether the proposal meets one or more of </w:t>
      </w:r>
      <w:r w:rsidRPr="0024293D">
        <w:rPr>
          <w:rFonts w:ascii="Calibri" w:hAnsi="Calibri"/>
          <w:sz w:val="24"/>
          <w:szCs w:val="24"/>
        </w:rPr>
        <w:t xml:space="preserve">the following conditions: </w:t>
      </w:r>
    </w:p>
    <w:p w14:paraId="70F1582D" w14:textId="77777777" w:rsidR="0024293D" w:rsidRPr="0024293D" w:rsidRDefault="0024293D" w:rsidP="00774293">
      <w:pPr>
        <w:spacing w:before="120"/>
        <w:ind w:left="720" w:right="720"/>
        <w:rPr>
          <w:rFonts w:ascii="Calibri" w:hAnsi="Calibri"/>
          <w:i/>
          <w:sz w:val="24"/>
          <w:szCs w:val="24"/>
        </w:rPr>
      </w:pPr>
      <w:r w:rsidRPr="0024293D">
        <w:rPr>
          <w:rFonts w:ascii="Calibri" w:hAnsi="Calibri"/>
          <w:i/>
          <w:sz w:val="24"/>
          <w:szCs w:val="24"/>
        </w:rPr>
        <w:t xml:space="preserve">Major Service Change at the Modal Level – </w:t>
      </w:r>
    </w:p>
    <w:p w14:paraId="75D09BB9" w14:textId="5016675C" w:rsidR="0024293D" w:rsidRPr="0024293D" w:rsidRDefault="0024293D" w:rsidP="00774293">
      <w:pPr>
        <w:numPr>
          <w:ilvl w:val="0"/>
          <w:numId w:val="48"/>
        </w:numPr>
        <w:spacing w:before="120"/>
        <w:ind w:left="1440" w:right="720"/>
        <w:rPr>
          <w:rFonts w:ascii="Calibri" w:hAnsi="Calibri"/>
          <w:sz w:val="24"/>
          <w:szCs w:val="24"/>
        </w:rPr>
      </w:pPr>
      <w:r w:rsidRPr="0024293D">
        <w:rPr>
          <w:rFonts w:ascii="Calibri" w:hAnsi="Calibri"/>
          <w:sz w:val="24"/>
          <w:szCs w:val="24"/>
        </w:rPr>
        <w:t xml:space="preserve">A change in Revenue Vehicle Hours (RVH) per week of </w:t>
      </w:r>
      <w:r>
        <w:rPr>
          <w:rFonts w:ascii="Calibri" w:hAnsi="Calibri"/>
          <w:sz w:val="24"/>
          <w:szCs w:val="24"/>
        </w:rPr>
        <w:t xml:space="preserve">at least </w:t>
      </w:r>
      <w:r w:rsidRPr="0024293D">
        <w:rPr>
          <w:rFonts w:ascii="Calibri" w:hAnsi="Calibri"/>
          <w:sz w:val="24"/>
          <w:szCs w:val="24"/>
        </w:rPr>
        <w:t>10% by mode</w:t>
      </w:r>
      <w:r w:rsidR="009735F9">
        <w:rPr>
          <w:rFonts w:ascii="Calibri" w:hAnsi="Calibri"/>
          <w:sz w:val="24"/>
          <w:szCs w:val="24"/>
        </w:rPr>
        <w:t>.</w:t>
      </w:r>
    </w:p>
    <w:p w14:paraId="2D59ED19" w14:textId="77777777" w:rsidR="0024293D" w:rsidRPr="0024293D" w:rsidRDefault="0024293D" w:rsidP="00774293">
      <w:pPr>
        <w:spacing w:before="120"/>
        <w:ind w:left="720" w:right="720"/>
        <w:rPr>
          <w:rFonts w:ascii="Calibri" w:hAnsi="Calibri"/>
          <w:i/>
          <w:sz w:val="24"/>
          <w:szCs w:val="24"/>
        </w:rPr>
      </w:pPr>
      <w:r w:rsidRPr="0024293D">
        <w:rPr>
          <w:rFonts w:ascii="Calibri" w:hAnsi="Calibri"/>
          <w:i/>
          <w:sz w:val="24"/>
          <w:szCs w:val="24"/>
        </w:rPr>
        <w:t xml:space="preserve">Major Service Change at the Route-Level – </w:t>
      </w:r>
    </w:p>
    <w:p w14:paraId="6DE9ACC0" w14:textId="3FF2DDB0" w:rsidR="0024293D" w:rsidRPr="0024293D" w:rsidRDefault="0024293D" w:rsidP="00774293">
      <w:pPr>
        <w:numPr>
          <w:ilvl w:val="0"/>
          <w:numId w:val="48"/>
        </w:numPr>
        <w:spacing w:before="120"/>
        <w:ind w:left="1440" w:right="720"/>
        <w:rPr>
          <w:rFonts w:ascii="Calibri" w:hAnsi="Calibri"/>
          <w:sz w:val="24"/>
          <w:szCs w:val="24"/>
        </w:rPr>
      </w:pPr>
      <w:r w:rsidRPr="0024293D">
        <w:rPr>
          <w:rFonts w:ascii="Calibri" w:hAnsi="Calibri" w:cs="Arial"/>
          <w:sz w:val="24"/>
          <w:szCs w:val="24"/>
        </w:rPr>
        <w:t>For all routes, a change in route length of at least 25% or 3 miles; or</w:t>
      </w:r>
      <w:r>
        <w:rPr>
          <w:rFonts w:ascii="Calibri" w:hAnsi="Calibri" w:cs="Arial"/>
          <w:sz w:val="24"/>
          <w:szCs w:val="24"/>
          <w:u w:val="single"/>
        </w:rPr>
        <w:t xml:space="preserve"> </w:t>
      </w:r>
    </w:p>
    <w:p w14:paraId="5FAD5B09" w14:textId="632F73CA" w:rsidR="000140E1" w:rsidRPr="0024293D" w:rsidRDefault="0024293D" w:rsidP="00774293">
      <w:pPr>
        <w:tabs>
          <w:tab w:val="left" w:pos="1440"/>
        </w:tabs>
        <w:spacing w:before="120"/>
        <w:ind w:left="1440" w:right="720"/>
        <w:rPr>
          <w:rFonts w:ascii="Calibri" w:hAnsi="Calibri"/>
          <w:sz w:val="24"/>
          <w:szCs w:val="24"/>
        </w:rPr>
      </w:pPr>
      <w:r w:rsidRPr="0024293D">
        <w:rPr>
          <w:rFonts w:ascii="Calibri" w:hAnsi="Calibri"/>
          <w:sz w:val="24"/>
          <w:szCs w:val="24"/>
        </w:rPr>
        <w:t>For routes with at least 80 RVH per week, a change in RVH per week of at least 25%.</w:t>
      </w:r>
    </w:p>
    <w:p w14:paraId="75B28D0A" w14:textId="50ED9E06" w:rsidR="00302084" w:rsidRPr="00302084" w:rsidRDefault="00302084" w:rsidP="00774293">
      <w:pPr>
        <w:tabs>
          <w:tab w:val="left" w:pos="0"/>
          <w:tab w:val="left" w:pos="8370"/>
        </w:tabs>
        <w:spacing w:before="120"/>
        <w:rPr>
          <w:rFonts w:ascii="Calibri" w:hAnsi="Calibri"/>
          <w:sz w:val="24"/>
          <w:szCs w:val="24"/>
        </w:rPr>
      </w:pPr>
      <w:r w:rsidRPr="00302084">
        <w:rPr>
          <w:rFonts w:ascii="Calibri" w:hAnsi="Calibri"/>
          <w:sz w:val="24"/>
          <w:szCs w:val="24"/>
        </w:rPr>
        <w:t xml:space="preserve">Note: Once a major service change is triggered by either the modal or route-level definition described above, </w:t>
      </w:r>
      <w:r w:rsidR="002F6F2D">
        <w:rPr>
          <w:rFonts w:ascii="Calibri" w:hAnsi="Calibri"/>
          <w:sz w:val="24"/>
          <w:szCs w:val="24"/>
        </w:rPr>
        <w:t xml:space="preserve">the </w:t>
      </w:r>
      <w:r w:rsidRPr="00302084">
        <w:rPr>
          <w:rFonts w:ascii="Calibri" w:hAnsi="Calibri"/>
          <w:sz w:val="24"/>
          <w:szCs w:val="24"/>
        </w:rPr>
        <w:t xml:space="preserve">equity analysis </w:t>
      </w:r>
      <w:r w:rsidR="002F6F2D">
        <w:rPr>
          <w:rFonts w:ascii="Calibri" w:hAnsi="Calibri"/>
          <w:sz w:val="24"/>
          <w:szCs w:val="24"/>
        </w:rPr>
        <w:t xml:space="preserve">must consider </w:t>
      </w:r>
      <w:r w:rsidRPr="00302084">
        <w:rPr>
          <w:rFonts w:ascii="Calibri" w:hAnsi="Calibri"/>
          <w:sz w:val="24"/>
          <w:szCs w:val="24"/>
        </w:rPr>
        <w:t>all concurrently proposed changes in the aggregate</w:t>
      </w:r>
      <w:r w:rsidR="002F6F2D">
        <w:rPr>
          <w:rFonts w:ascii="Calibri" w:hAnsi="Calibri"/>
          <w:sz w:val="24"/>
          <w:szCs w:val="24"/>
        </w:rPr>
        <w:t xml:space="preserve">.  </w:t>
      </w:r>
      <w:r w:rsidRPr="00302084">
        <w:rPr>
          <w:rFonts w:ascii="Calibri" w:hAnsi="Calibri"/>
          <w:sz w:val="24"/>
          <w:szCs w:val="24"/>
        </w:rPr>
        <w:t xml:space="preserve"> </w:t>
      </w:r>
    </w:p>
    <w:p w14:paraId="11BA95A9" w14:textId="77777777" w:rsidR="00302084" w:rsidRPr="003409F7" w:rsidRDefault="00302084" w:rsidP="00774293">
      <w:pPr>
        <w:spacing w:before="120"/>
        <w:ind w:left="720" w:right="720"/>
        <w:rPr>
          <w:rFonts w:ascii="Calibri" w:hAnsi="Calibri"/>
          <w:sz w:val="16"/>
          <w:szCs w:val="16"/>
        </w:rPr>
      </w:pPr>
    </w:p>
    <w:p w14:paraId="60B35716" w14:textId="77777777" w:rsidR="0024293D" w:rsidRPr="0024293D" w:rsidRDefault="0024293D" w:rsidP="00774293">
      <w:pPr>
        <w:spacing w:before="120"/>
        <w:ind w:left="720" w:right="720"/>
        <w:rPr>
          <w:rFonts w:ascii="Calibri" w:hAnsi="Calibri"/>
          <w:sz w:val="24"/>
          <w:szCs w:val="24"/>
        </w:rPr>
      </w:pPr>
      <w:r w:rsidRPr="0024293D">
        <w:rPr>
          <w:rFonts w:ascii="Calibri" w:hAnsi="Calibri"/>
          <w:sz w:val="24"/>
          <w:szCs w:val="24"/>
        </w:rPr>
        <w:t xml:space="preserve">For the purposes of this policy: </w:t>
      </w:r>
    </w:p>
    <w:p w14:paraId="5B20E1CC" w14:textId="7D3241A9" w:rsidR="0024293D" w:rsidRPr="0024293D" w:rsidRDefault="0052013D" w:rsidP="00774293">
      <w:pPr>
        <w:numPr>
          <w:ilvl w:val="0"/>
          <w:numId w:val="49"/>
        </w:numPr>
        <w:spacing w:before="120"/>
        <w:ind w:left="1440" w:right="720"/>
        <w:rPr>
          <w:rFonts w:ascii="Calibri" w:hAnsi="Calibri"/>
          <w:sz w:val="24"/>
          <w:szCs w:val="24"/>
        </w:rPr>
      </w:pPr>
      <w:r w:rsidRPr="0024293D">
        <w:rPr>
          <w:rFonts w:ascii="Calibri" w:hAnsi="Calibri"/>
          <w:sz w:val="24"/>
          <w:szCs w:val="24"/>
        </w:rPr>
        <w:t xml:space="preserve">The MBTA’s fixed-route modes consist of: </w:t>
      </w:r>
      <w:r>
        <w:rPr>
          <w:rFonts w:ascii="Calibri" w:hAnsi="Calibri"/>
          <w:sz w:val="24"/>
          <w:szCs w:val="24"/>
        </w:rPr>
        <w:t>f</w:t>
      </w:r>
      <w:r w:rsidRPr="0024293D">
        <w:rPr>
          <w:rFonts w:ascii="Calibri" w:hAnsi="Calibri"/>
          <w:sz w:val="24"/>
          <w:szCs w:val="24"/>
        </w:rPr>
        <w:t>ixed-</w:t>
      </w:r>
      <w:r>
        <w:rPr>
          <w:rFonts w:ascii="Calibri" w:hAnsi="Calibri"/>
          <w:sz w:val="24"/>
          <w:szCs w:val="24"/>
        </w:rPr>
        <w:t>r</w:t>
      </w:r>
      <w:r w:rsidRPr="0024293D">
        <w:rPr>
          <w:rFonts w:ascii="Calibri" w:hAnsi="Calibri"/>
          <w:sz w:val="24"/>
          <w:szCs w:val="24"/>
        </w:rPr>
        <w:t xml:space="preserve">oute </w:t>
      </w:r>
      <w:r>
        <w:rPr>
          <w:rFonts w:ascii="Calibri" w:hAnsi="Calibri"/>
          <w:sz w:val="24"/>
          <w:szCs w:val="24"/>
        </w:rPr>
        <w:t>b</w:t>
      </w:r>
      <w:r w:rsidRPr="0024293D">
        <w:rPr>
          <w:rFonts w:ascii="Calibri" w:hAnsi="Calibri"/>
          <w:sz w:val="24"/>
          <w:szCs w:val="24"/>
        </w:rPr>
        <w:t xml:space="preserve">us (including electric trolley buses), </w:t>
      </w:r>
      <w:r>
        <w:rPr>
          <w:rFonts w:ascii="Calibri" w:hAnsi="Calibri"/>
          <w:sz w:val="24"/>
          <w:szCs w:val="24"/>
        </w:rPr>
        <w:t>heavy rail</w:t>
      </w:r>
      <w:r w:rsidRPr="0024293D">
        <w:rPr>
          <w:rFonts w:ascii="Calibri" w:hAnsi="Calibri"/>
          <w:sz w:val="24"/>
          <w:szCs w:val="24"/>
        </w:rPr>
        <w:t xml:space="preserve"> (Red Line, Orange Line, Blue Line), </w:t>
      </w:r>
      <w:r>
        <w:rPr>
          <w:rFonts w:ascii="Calibri" w:hAnsi="Calibri"/>
          <w:sz w:val="24"/>
          <w:szCs w:val="24"/>
        </w:rPr>
        <w:t>l</w:t>
      </w:r>
      <w:r w:rsidRPr="0024293D">
        <w:rPr>
          <w:rFonts w:ascii="Calibri" w:hAnsi="Calibri"/>
          <w:sz w:val="24"/>
          <w:szCs w:val="24"/>
        </w:rPr>
        <w:t xml:space="preserve">ight </w:t>
      </w:r>
      <w:r>
        <w:rPr>
          <w:rFonts w:ascii="Calibri" w:hAnsi="Calibri"/>
          <w:sz w:val="24"/>
          <w:szCs w:val="24"/>
        </w:rPr>
        <w:t>r</w:t>
      </w:r>
      <w:r w:rsidRPr="0024293D">
        <w:rPr>
          <w:rFonts w:ascii="Calibri" w:hAnsi="Calibri"/>
          <w:sz w:val="24"/>
          <w:szCs w:val="24"/>
        </w:rPr>
        <w:t xml:space="preserve">ail (Green Line, Mattapan Trolley), </w:t>
      </w:r>
      <w:r>
        <w:rPr>
          <w:rFonts w:ascii="Calibri" w:hAnsi="Calibri"/>
          <w:sz w:val="24"/>
          <w:szCs w:val="24"/>
        </w:rPr>
        <w:t>c</w:t>
      </w:r>
      <w:r w:rsidRPr="0024293D">
        <w:rPr>
          <w:rFonts w:ascii="Calibri" w:hAnsi="Calibri"/>
          <w:sz w:val="24"/>
          <w:szCs w:val="24"/>
        </w:rPr>
        <w:t xml:space="preserve">ommuter </w:t>
      </w:r>
      <w:r>
        <w:rPr>
          <w:rFonts w:ascii="Calibri" w:hAnsi="Calibri"/>
          <w:sz w:val="24"/>
          <w:szCs w:val="24"/>
        </w:rPr>
        <w:t>r</w:t>
      </w:r>
      <w:r w:rsidRPr="0024293D">
        <w:rPr>
          <w:rFonts w:ascii="Calibri" w:hAnsi="Calibri"/>
          <w:sz w:val="24"/>
          <w:szCs w:val="24"/>
        </w:rPr>
        <w:t xml:space="preserve">ail, and </w:t>
      </w:r>
      <w:r>
        <w:rPr>
          <w:rFonts w:ascii="Calibri" w:hAnsi="Calibri"/>
          <w:sz w:val="24"/>
          <w:szCs w:val="24"/>
        </w:rPr>
        <w:t>f</w:t>
      </w:r>
      <w:r w:rsidRPr="0024293D">
        <w:rPr>
          <w:rFonts w:ascii="Calibri" w:hAnsi="Calibri"/>
          <w:sz w:val="24"/>
          <w:szCs w:val="24"/>
        </w:rPr>
        <w:t>erry.</w:t>
      </w:r>
      <w:r w:rsidR="0024293D" w:rsidRPr="0024293D">
        <w:rPr>
          <w:rFonts w:ascii="Calibri" w:hAnsi="Calibri"/>
          <w:sz w:val="24"/>
          <w:szCs w:val="24"/>
        </w:rPr>
        <w:t xml:space="preserve">  </w:t>
      </w:r>
    </w:p>
    <w:p w14:paraId="60760733" w14:textId="6ECB5D4F" w:rsidR="00C54381" w:rsidRDefault="0052013D" w:rsidP="00774293">
      <w:pPr>
        <w:numPr>
          <w:ilvl w:val="0"/>
          <w:numId w:val="49"/>
        </w:numPr>
        <w:spacing w:before="120"/>
        <w:ind w:left="1440" w:right="720"/>
        <w:rPr>
          <w:rFonts w:ascii="Calibri" w:hAnsi="Calibri"/>
          <w:sz w:val="24"/>
          <w:szCs w:val="24"/>
        </w:rPr>
      </w:pPr>
      <w:r w:rsidRPr="00C54381">
        <w:rPr>
          <w:rFonts w:ascii="Calibri" w:hAnsi="Calibri"/>
          <w:sz w:val="24"/>
          <w:szCs w:val="24"/>
        </w:rPr>
        <w:t xml:space="preserve">The MBTA’s non-bus routes are identified as each commuter rail line, each </w:t>
      </w:r>
      <w:r>
        <w:rPr>
          <w:rFonts w:ascii="Calibri" w:hAnsi="Calibri"/>
          <w:sz w:val="24"/>
          <w:szCs w:val="24"/>
        </w:rPr>
        <w:t>heavy rail</w:t>
      </w:r>
      <w:r w:rsidRPr="00C54381">
        <w:rPr>
          <w:rFonts w:ascii="Calibri" w:hAnsi="Calibri"/>
          <w:sz w:val="24"/>
          <w:szCs w:val="24"/>
        </w:rPr>
        <w:t xml:space="preserve"> </w:t>
      </w:r>
      <w:r>
        <w:rPr>
          <w:rFonts w:ascii="Calibri" w:hAnsi="Calibri"/>
          <w:sz w:val="24"/>
          <w:szCs w:val="24"/>
        </w:rPr>
        <w:t>or</w:t>
      </w:r>
      <w:r w:rsidRPr="00C54381">
        <w:rPr>
          <w:rFonts w:ascii="Calibri" w:hAnsi="Calibri"/>
          <w:sz w:val="24"/>
          <w:szCs w:val="24"/>
        </w:rPr>
        <w:t xml:space="preserve"> light rail line and each ferry line.</w:t>
      </w:r>
    </w:p>
    <w:p w14:paraId="17834426" w14:textId="77777777" w:rsidR="0024293D" w:rsidRPr="0024293D" w:rsidRDefault="0024293D" w:rsidP="00774293">
      <w:pPr>
        <w:numPr>
          <w:ilvl w:val="0"/>
          <w:numId w:val="49"/>
        </w:numPr>
        <w:spacing w:before="120"/>
        <w:ind w:left="1440" w:right="720"/>
        <w:rPr>
          <w:rFonts w:ascii="Calibri" w:hAnsi="Calibri"/>
          <w:sz w:val="24"/>
          <w:szCs w:val="24"/>
        </w:rPr>
      </w:pPr>
      <w:r w:rsidRPr="0024293D">
        <w:rPr>
          <w:rFonts w:ascii="Calibri" w:hAnsi="Calibri"/>
          <w:sz w:val="24"/>
          <w:szCs w:val="24"/>
        </w:rPr>
        <w:t xml:space="preserve">Supplemental service that adds trips along pre-existing transit routes (e.g. school trips, weekend variations) will be counted as part of the parent route. </w:t>
      </w:r>
    </w:p>
    <w:p w14:paraId="21DA3502" w14:textId="77777777" w:rsidR="0024293D" w:rsidRPr="0024293D" w:rsidRDefault="0024293D" w:rsidP="00774293">
      <w:pPr>
        <w:numPr>
          <w:ilvl w:val="0"/>
          <w:numId w:val="49"/>
        </w:numPr>
        <w:spacing w:before="120"/>
        <w:ind w:left="1440" w:right="720"/>
        <w:rPr>
          <w:rFonts w:ascii="Calibri" w:hAnsi="Calibri"/>
          <w:sz w:val="24"/>
          <w:szCs w:val="24"/>
        </w:rPr>
      </w:pPr>
      <w:r w:rsidRPr="0024293D">
        <w:rPr>
          <w:rFonts w:ascii="Calibri" w:hAnsi="Calibri"/>
          <w:sz w:val="24"/>
          <w:szCs w:val="24"/>
        </w:rPr>
        <w:t xml:space="preserve">The complete elimination of existing routes or addition of new routes, by definition, constitutes major service changes. </w:t>
      </w:r>
    </w:p>
    <w:p w14:paraId="4B3040FA" w14:textId="52E83EBC" w:rsidR="0024293D" w:rsidRPr="0024293D" w:rsidRDefault="0024293D" w:rsidP="00774293">
      <w:pPr>
        <w:numPr>
          <w:ilvl w:val="0"/>
          <w:numId w:val="49"/>
        </w:numPr>
        <w:spacing w:before="120"/>
        <w:ind w:left="1440" w:right="720"/>
        <w:rPr>
          <w:rFonts w:ascii="Calibri" w:hAnsi="Calibri"/>
          <w:sz w:val="24"/>
          <w:szCs w:val="24"/>
        </w:rPr>
      </w:pPr>
      <w:r w:rsidRPr="0024293D">
        <w:rPr>
          <w:rFonts w:ascii="Calibri" w:hAnsi="Calibri"/>
          <w:sz w:val="24"/>
          <w:szCs w:val="24"/>
        </w:rPr>
        <w:t xml:space="preserve">Changes in RVH and/or route length produced by quarterly </w:t>
      </w:r>
      <w:r w:rsidR="009735F9">
        <w:rPr>
          <w:rFonts w:ascii="Calibri" w:hAnsi="Calibri"/>
          <w:sz w:val="24"/>
          <w:szCs w:val="24"/>
        </w:rPr>
        <w:t xml:space="preserve">service </w:t>
      </w:r>
      <w:r w:rsidRPr="0024293D">
        <w:rPr>
          <w:rFonts w:ascii="Calibri" w:hAnsi="Calibri"/>
          <w:sz w:val="24"/>
          <w:szCs w:val="24"/>
        </w:rPr>
        <w:t xml:space="preserve">adjustments will be categorized under one of two labels: (1) Summer Quarter or (2) </w:t>
      </w:r>
      <w:r w:rsidR="00C07B82">
        <w:rPr>
          <w:rFonts w:ascii="Calibri" w:hAnsi="Calibri"/>
          <w:sz w:val="24"/>
          <w:szCs w:val="24"/>
        </w:rPr>
        <w:t>All Other</w:t>
      </w:r>
      <w:r w:rsidRPr="0024293D">
        <w:rPr>
          <w:rFonts w:ascii="Calibri" w:hAnsi="Calibri"/>
          <w:sz w:val="24"/>
          <w:szCs w:val="24"/>
        </w:rPr>
        <w:t xml:space="preserve"> Quarter</w:t>
      </w:r>
      <w:r w:rsidR="00C07B82">
        <w:rPr>
          <w:rFonts w:ascii="Calibri" w:hAnsi="Calibri"/>
          <w:sz w:val="24"/>
          <w:szCs w:val="24"/>
        </w:rPr>
        <w:t>s</w:t>
      </w:r>
      <w:r w:rsidRPr="0024293D">
        <w:rPr>
          <w:rFonts w:ascii="Calibri" w:hAnsi="Calibri"/>
          <w:sz w:val="24"/>
          <w:szCs w:val="24"/>
        </w:rPr>
        <w:t xml:space="preserve">. In determining whether these changes qualify as “major” under this policy, changes to Summer Quarter service will be compared to the previous Summer Quarter’s service and changes to </w:t>
      </w:r>
      <w:r w:rsidR="00FB1BFC">
        <w:rPr>
          <w:rFonts w:ascii="Calibri" w:hAnsi="Calibri"/>
          <w:sz w:val="24"/>
          <w:szCs w:val="24"/>
        </w:rPr>
        <w:t>any other quarter will be compared to the most recent non-Summer quarter’s service</w:t>
      </w:r>
      <w:r w:rsidR="00C07B82">
        <w:rPr>
          <w:rFonts w:ascii="Calibri" w:hAnsi="Calibri"/>
          <w:sz w:val="24"/>
          <w:szCs w:val="24"/>
        </w:rPr>
        <w:t xml:space="preserve"> (</w:t>
      </w:r>
      <w:r w:rsidR="00C07B82" w:rsidRPr="00C07B82">
        <w:rPr>
          <w:rFonts w:ascii="Calibri" w:hAnsi="Calibri"/>
          <w:sz w:val="24"/>
          <w:szCs w:val="24"/>
        </w:rPr>
        <w:t xml:space="preserve">fall </w:t>
      </w:r>
      <w:r w:rsidR="00C07B82">
        <w:rPr>
          <w:rFonts w:ascii="Calibri" w:hAnsi="Calibri"/>
          <w:sz w:val="24"/>
          <w:szCs w:val="24"/>
        </w:rPr>
        <w:t>is</w:t>
      </w:r>
      <w:r w:rsidR="00C07B82" w:rsidRPr="00C07B82">
        <w:rPr>
          <w:rFonts w:ascii="Calibri" w:hAnsi="Calibri"/>
          <w:sz w:val="24"/>
          <w:szCs w:val="24"/>
        </w:rPr>
        <w:t xml:space="preserve"> compared to spring, winter </w:t>
      </w:r>
      <w:r w:rsidR="00C07B82">
        <w:rPr>
          <w:rFonts w:ascii="Calibri" w:hAnsi="Calibri"/>
          <w:sz w:val="24"/>
          <w:szCs w:val="24"/>
        </w:rPr>
        <w:t>is</w:t>
      </w:r>
      <w:r w:rsidR="00C07B82" w:rsidRPr="00C07B82">
        <w:rPr>
          <w:rFonts w:ascii="Calibri" w:hAnsi="Calibri"/>
          <w:sz w:val="24"/>
          <w:szCs w:val="24"/>
        </w:rPr>
        <w:t xml:space="preserve"> compared to fall, and spring </w:t>
      </w:r>
      <w:r w:rsidR="00C07B82">
        <w:rPr>
          <w:rFonts w:ascii="Calibri" w:hAnsi="Calibri"/>
          <w:sz w:val="24"/>
          <w:szCs w:val="24"/>
        </w:rPr>
        <w:t>is</w:t>
      </w:r>
      <w:r w:rsidR="00C07B82" w:rsidRPr="00C07B82">
        <w:rPr>
          <w:rFonts w:ascii="Calibri" w:hAnsi="Calibri"/>
          <w:sz w:val="24"/>
          <w:szCs w:val="24"/>
        </w:rPr>
        <w:t xml:space="preserve"> compared to winter</w:t>
      </w:r>
      <w:r w:rsidR="00C07B82">
        <w:rPr>
          <w:rFonts w:ascii="Calibri" w:hAnsi="Calibri"/>
          <w:sz w:val="24"/>
          <w:szCs w:val="24"/>
        </w:rPr>
        <w:t>)</w:t>
      </w:r>
      <w:r w:rsidR="00FB1BFC">
        <w:rPr>
          <w:rFonts w:ascii="Calibri" w:hAnsi="Calibri"/>
          <w:sz w:val="24"/>
          <w:szCs w:val="24"/>
        </w:rPr>
        <w:t>.</w:t>
      </w:r>
    </w:p>
    <w:p w14:paraId="153999F4" w14:textId="2FF0959B" w:rsidR="0024293D" w:rsidRPr="0024293D" w:rsidRDefault="0052013D" w:rsidP="00774293">
      <w:pPr>
        <w:numPr>
          <w:ilvl w:val="0"/>
          <w:numId w:val="49"/>
        </w:numPr>
        <w:spacing w:before="120"/>
        <w:ind w:left="1440" w:right="720"/>
        <w:rPr>
          <w:rFonts w:ascii="Calibri" w:hAnsi="Calibri"/>
          <w:sz w:val="24"/>
          <w:szCs w:val="24"/>
        </w:rPr>
      </w:pPr>
      <w:r>
        <w:rPr>
          <w:rFonts w:ascii="Calibri" w:hAnsi="Calibri"/>
          <w:sz w:val="24"/>
          <w:szCs w:val="24"/>
        </w:rPr>
        <w:t>Change in r</w:t>
      </w:r>
      <w:r w:rsidRPr="0024293D">
        <w:rPr>
          <w:rFonts w:ascii="Calibri" w:hAnsi="Calibri"/>
          <w:sz w:val="24"/>
          <w:szCs w:val="24"/>
        </w:rPr>
        <w:t>oute length includes changes in alignment.</w:t>
      </w:r>
      <w:r w:rsidR="0024293D" w:rsidRPr="0024293D">
        <w:rPr>
          <w:rFonts w:ascii="Calibri" w:hAnsi="Calibri"/>
          <w:sz w:val="24"/>
          <w:szCs w:val="24"/>
        </w:rPr>
        <w:t xml:space="preserve"> </w:t>
      </w:r>
    </w:p>
    <w:p w14:paraId="5DD3E507" w14:textId="0DB1DF36" w:rsidR="0024293D" w:rsidRDefault="0024293D" w:rsidP="00774293">
      <w:pPr>
        <w:numPr>
          <w:ilvl w:val="0"/>
          <w:numId w:val="49"/>
        </w:numPr>
        <w:spacing w:before="120"/>
        <w:ind w:left="1440" w:right="720"/>
        <w:rPr>
          <w:rFonts w:ascii="Calibri" w:hAnsi="Calibri"/>
          <w:sz w:val="24"/>
          <w:szCs w:val="24"/>
        </w:rPr>
      </w:pPr>
      <w:r w:rsidRPr="0024293D">
        <w:rPr>
          <w:rFonts w:ascii="Calibri" w:hAnsi="Calibri"/>
          <w:sz w:val="24"/>
          <w:szCs w:val="24"/>
        </w:rPr>
        <w:t>Changes to RVH and/or route length will be analyzed as a percent</w:t>
      </w:r>
      <w:r w:rsidR="00A642B1">
        <w:rPr>
          <w:rFonts w:ascii="Calibri" w:hAnsi="Calibri"/>
          <w:sz w:val="24"/>
          <w:szCs w:val="24"/>
        </w:rPr>
        <w:t>age</w:t>
      </w:r>
      <w:r w:rsidRPr="0024293D">
        <w:rPr>
          <w:rFonts w:ascii="Calibri" w:hAnsi="Calibri"/>
          <w:sz w:val="24"/>
          <w:szCs w:val="24"/>
        </w:rPr>
        <w:t xml:space="preserve"> change and as an absolute change. </w:t>
      </w:r>
    </w:p>
    <w:p w14:paraId="0FEA0D72" w14:textId="49A703D0" w:rsidR="00C07B82" w:rsidRDefault="00C07B82" w:rsidP="00774293">
      <w:pPr>
        <w:numPr>
          <w:ilvl w:val="0"/>
          <w:numId w:val="49"/>
        </w:numPr>
        <w:spacing w:before="120"/>
        <w:ind w:left="1440" w:right="720"/>
        <w:rPr>
          <w:rFonts w:ascii="Calibri" w:hAnsi="Calibri"/>
          <w:sz w:val="24"/>
          <w:szCs w:val="24"/>
        </w:rPr>
      </w:pPr>
      <w:r w:rsidRPr="00C07B82">
        <w:rPr>
          <w:rFonts w:ascii="Calibri" w:hAnsi="Calibri"/>
          <w:sz w:val="24"/>
          <w:szCs w:val="24"/>
        </w:rPr>
        <w:t xml:space="preserve">Making a service change to more than 25% or 3 miles of a </w:t>
      </w:r>
      <w:r w:rsidRPr="00B44F2F">
        <w:rPr>
          <w:rFonts w:ascii="Calibri" w:hAnsi="Calibri"/>
          <w:sz w:val="24"/>
          <w:szCs w:val="24"/>
          <w:u w:val="single"/>
        </w:rPr>
        <w:t>primary variation’s</w:t>
      </w:r>
      <w:r w:rsidRPr="00C07B82">
        <w:rPr>
          <w:rFonts w:ascii="Calibri" w:hAnsi="Calibri"/>
          <w:sz w:val="24"/>
          <w:szCs w:val="24"/>
        </w:rPr>
        <w:t xml:space="preserve"> length would trigger the “major service change” designation</w:t>
      </w:r>
      <w:r>
        <w:rPr>
          <w:rFonts w:ascii="Calibri" w:hAnsi="Calibri"/>
          <w:sz w:val="24"/>
          <w:szCs w:val="24"/>
        </w:rPr>
        <w:t xml:space="preserve">. </w:t>
      </w:r>
    </w:p>
    <w:p w14:paraId="274A2A7D" w14:textId="64A95093" w:rsidR="00C07B82" w:rsidRPr="0024293D" w:rsidRDefault="00C07B82" w:rsidP="00774293">
      <w:pPr>
        <w:numPr>
          <w:ilvl w:val="0"/>
          <w:numId w:val="49"/>
        </w:numPr>
        <w:spacing w:before="120"/>
        <w:ind w:left="1440" w:right="720"/>
        <w:rPr>
          <w:rFonts w:ascii="Calibri" w:hAnsi="Calibri"/>
          <w:sz w:val="24"/>
          <w:szCs w:val="24"/>
        </w:rPr>
      </w:pPr>
      <w:r w:rsidRPr="00C07B82">
        <w:rPr>
          <w:rFonts w:ascii="Calibri" w:hAnsi="Calibri"/>
          <w:sz w:val="24"/>
          <w:szCs w:val="24"/>
        </w:rPr>
        <w:t xml:space="preserve">Making a service change to more than 25% or 3 miles of the combined segments of </w:t>
      </w:r>
      <w:r w:rsidR="0052013D">
        <w:rPr>
          <w:rFonts w:ascii="Calibri" w:hAnsi="Calibri"/>
          <w:sz w:val="24"/>
          <w:szCs w:val="24"/>
          <w:u w:val="single"/>
        </w:rPr>
        <w:t>all variants</w:t>
      </w:r>
      <w:r w:rsidRPr="00C07B82">
        <w:rPr>
          <w:rFonts w:ascii="Calibri" w:hAnsi="Calibri"/>
          <w:sz w:val="24"/>
          <w:szCs w:val="24"/>
        </w:rPr>
        <w:t xml:space="preserve"> (counting overlapping segments only once) would trigger the “major service change” designation.</w:t>
      </w:r>
    </w:p>
    <w:p w14:paraId="218E3A0E" w14:textId="77777777" w:rsidR="0039223F" w:rsidRPr="0039223F" w:rsidRDefault="0039223F" w:rsidP="00774293">
      <w:pPr>
        <w:spacing w:before="120"/>
        <w:rPr>
          <w:rFonts w:ascii="Calibri" w:hAnsi="Calibri"/>
          <w:sz w:val="16"/>
          <w:szCs w:val="16"/>
          <w:u w:val="single"/>
        </w:rPr>
      </w:pPr>
    </w:p>
    <w:p w14:paraId="150FB96E" w14:textId="77777777" w:rsidR="0024293D" w:rsidRPr="0024293D" w:rsidRDefault="0024293D" w:rsidP="00774293">
      <w:pPr>
        <w:spacing w:before="120"/>
        <w:rPr>
          <w:rFonts w:ascii="Calibri" w:hAnsi="Calibri"/>
          <w:sz w:val="24"/>
          <w:szCs w:val="24"/>
          <w:u w:val="single"/>
        </w:rPr>
      </w:pPr>
      <w:r w:rsidRPr="0024293D">
        <w:rPr>
          <w:rFonts w:ascii="Calibri" w:hAnsi="Calibri"/>
          <w:sz w:val="24"/>
          <w:szCs w:val="24"/>
          <w:u w:val="single"/>
        </w:rPr>
        <w:t>Definition of Adverse Effects</w:t>
      </w:r>
    </w:p>
    <w:p w14:paraId="75D86BC5" w14:textId="77777777" w:rsidR="0024293D" w:rsidRPr="0024293D" w:rsidRDefault="0024293D" w:rsidP="00774293">
      <w:pPr>
        <w:spacing w:before="120"/>
        <w:rPr>
          <w:rFonts w:ascii="Calibri" w:hAnsi="Calibri"/>
          <w:sz w:val="24"/>
          <w:szCs w:val="24"/>
        </w:rPr>
      </w:pPr>
      <w:r w:rsidRPr="0024293D">
        <w:rPr>
          <w:rFonts w:ascii="Calibri" w:hAnsi="Calibri"/>
          <w:sz w:val="24"/>
          <w:szCs w:val="24"/>
        </w:rPr>
        <w:t xml:space="preserve">The MBTA defines adverse effects of service changes as: </w:t>
      </w:r>
    </w:p>
    <w:p w14:paraId="0AAB5EA1" w14:textId="57CD8397" w:rsidR="0024293D" w:rsidRPr="0024293D" w:rsidRDefault="0024293D" w:rsidP="00774293">
      <w:pPr>
        <w:numPr>
          <w:ilvl w:val="0"/>
          <w:numId w:val="50"/>
        </w:numPr>
        <w:spacing w:before="120"/>
        <w:rPr>
          <w:rFonts w:ascii="Calibri" w:hAnsi="Calibri"/>
          <w:sz w:val="24"/>
          <w:szCs w:val="24"/>
        </w:rPr>
      </w:pPr>
      <w:r w:rsidRPr="0024293D">
        <w:rPr>
          <w:rFonts w:ascii="Calibri" w:hAnsi="Calibri"/>
          <w:sz w:val="24"/>
          <w:szCs w:val="24"/>
        </w:rPr>
        <w:t xml:space="preserve">For routes with </w:t>
      </w:r>
      <w:r w:rsidR="00C54381">
        <w:rPr>
          <w:rFonts w:ascii="Calibri" w:hAnsi="Calibri"/>
          <w:sz w:val="24"/>
          <w:szCs w:val="24"/>
        </w:rPr>
        <w:t xml:space="preserve">at least </w:t>
      </w:r>
      <w:r w:rsidRPr="0024293D">
        <w:rPr>
          <w:rFonts w:ascii="Calibri" w:hAnsi="Calibri"/>
          <w:sz w:val="24"/>
          <w:szCs w:val="24"/>
        </w:rPr>
        <w:t>80 revenue vehicle hours per week, an increase or decrease in the amount of service scheduled, by route and by mode (as measured by changes to weekly RVH)</w:t>
      </w:r>
    </w:p>
    <w:p w14:paraId="6B59F5EA" w14:textId="4C11E2A2" w:rsidR="0024293D" w:rsidRPr="0024293D" w:rsidRDefault="0024293D" w:rsidP="00774293">
      <w:pPr>
        <w:numPr>
          <w:ilvl w:val="0"/>
          <w:numId w:val="50"/>
        </w:numPr>
        <w:spacing w:before="120"/>
        <w:rPr>
          <w:rFonts w:ascii="Calibri" w:hAnsi="Calibri"/>
          <w:sz w:val="24"/>
          <w:szCs w:val="24"/>
        </w:rPr>
      </w:pPr>
      <w:r w:rsidRPr="0024293D">
        <w:rPr>
          <w:rFonts w:ascii="Calibri" w:hAnsi="Calibri"/>
          <w:sz w:val="24"/>
          <w:szCs w:val="24"/>
        </w:rPr>
        <w:t>An increase or decrease in the access to service, by route (as measured by changes to route length, in miles)</w:t>
      </w:r>
    </w:p>
    <w:p w14:paraId="753C1162" w14:textId="3C5CDA22" w:rsidR="0024293D" w:rsidRPr="0024293D" w:rsidRDefault="0024293D" w:rsidP="00774293">
      <w:pPr>
        <w:spacing w:before="120"/>
        <w:rPr>
          <w:rFonts w:ascii="Calibri" w:hAnsi="Calibri"/>
          <w:sz w:val="24"/>
          <w:szCs w:val="24"/>
        </w:rPr>
      </w:pPr>
      <w:r w:rsidRPr="0024293D">
        <w:rPr>
          <w:rFonts w:ascii="Calibri" w:hAnsi="Calibri"/>
          <w:sz w:val="24"/>
          <w:szCs w:val="24"/>
        </w:rPr>
        <w:t>For the purposes of evaluating the degree of adverse impacts resulting from major service change proposals, the MBTA will measure and compare the extent of the loss or the gain among minority and nonminority populations and among low-income and non-low-income populations when conducting the equity analysis.</w:t>
      </w:r>
    </w:p>
    <w:p w14:paraId="6DB32C15" w14:textId="77777777" w:rsidR="009C120D" w:rsidRPr="009C120D" w:rsidRDefault="009C120D" w:rsidP="00774293">
      <w:pPr>
        <w:spacing w:before="120"/>
        <w:rPr>
          <w:rFonts w:ascii="Calibri" w:hAnsi="Calibri"/>
          <w:sz w:val="16"/>
          <w:szCs w:val="16"/>
          <w:u w:val="single"/>
        </w:rPr>
      </w:pPr>
    </w:p>
    <w:p w14:paraId="22B42A8D" w14:textId="77777777" w:rsidR="0024293D" w:rsidRPr="0024293D" w:rsidRDefault="0024293D" w:rsidP="00774293">
      <w:pPr>
        <w:spacing w:before="120"/>
        <w:rPr>
          <w:rFonts w:ascii="Calibri" w:hAnsi="Calibri"/>
          <w:i/>
          <w:sz w:val="24"/>
          <w:szCs w:val="24"/>
          <w:u w:val="single"/>
        </w:rPr>
      </w:pPr>
      <w:r w:rsidRPr="0024293D">
        <w:rPr>
          <w:rFonts w:ascii="Calibri" w:hAnsi="Calibri"/>
          <w:sz w:val="24"/>
          <w:szCs w:val="24"/>
          <w:u w:val="single"/>
        </w:rPr>
        <w:t>Disparate Impact/Disproportionate Burden Policy for Service Changes</w:t>
      </w:r>
    </w:p>
    <w:p w14:paraId="74D1344B" w14:textId="4A9EFACE" w:rsidR="0024293D" w:rsidRPr="0024293D" w:rsidRDefault="0024293D" w:rsidP="00774293">
      <w:pPr>
        <w:spacing w:before="120"/>
        <w:rPr>
          <w:rFonts w:ascii="Calibri" w:hAnsi="Calibri"/>
          <w:sz w:val="24"/>
          <w:szCs w:val="24"/>
        </w:rPr>
      </w:pPr>
      <w:r w:rsidRPr="0024293D">
        <w:rPr>
          <w:rFonts w:ascii="Calibri" w:hAnsi="Calibri"/>
          <w:sz w:val="24"/>
          <w:szCs w:val="24"/>
        </w:rPr>
        <w:t xml:space="preserve">The MBTA’s threshold for determining when adverse effects of major service changes may result in disparate impacts on minority and/or disproportionate burdens on low-income populations is </w:t>
      </w:r>
      <w:r w:rsidR="00302084">
        <w:rPr>
          <w:rFonts w:ascii="Calibri" w:hAnsi="Calibri"/>
          <w:sz w:val="24"/>
          <w:szCs w:val="24"/>
        </w:rPr>
        <w:t>20</w:t>
      </w:r>
      <w:r w:rsidRPr="0024293D">
        <w:rPr>
          <w:rFonts w:ascii="Calibri" w:hAnsi="Calibri"/>
          <w:sz w:val="24"/>
          <w:szCs w:val="24"/>
        </w:rPr>
        <w:t>%. If the ratio of the impact on minority to non-minority populations or low-income to non-low-income populations is more than 1.</w:t>
      </w:r>
      <w:r w:rsidR="00302084">
        <w:rPr>
          <w:rFonts w:ascii="Calibri" w:hAnsi="Calibri"/>
          <w:sz w:val="24"/>
          <w:szCs w:val="24"/>
        </w:rPr>
        <w:t>20</w:t>
      </w:r>
      <w:r w:rsidRPr="0024293D">
        <w:rPr>
          <w:rFonts w:ascii="Calibri" w:hAnsi="Calibri"/>
          <w:sz w:val="24"/>
          <w:szCs w:val="24"/>
        </w:rPr>
        <w:t xml:space="preserve"> (or </w:t>
      </w:r>
      <w:r w:rsidR="00302084">
        <w:rPr>
          <w:rFonts w:ascii="Calibri" w:hAnsi="Calibri"/>
          <w:sz w:val="24"/>
          <w:szCs w:val="24"/>
        </w:rPr>
        <w:t>20</w:t>
      </w:r>
      <w:r w:rsidRPr="0024293D">
        <w:rPr>
          <w:rFonts w:ascii="Calibri" w:hAnsi="Calibri"/>
          <w:sz w:val="24"/>
          <w:szCs w:val="24"/>
        </w:rPr>
        <w:t xml:space="preserve">%), then the proposed change </w:t>
      </w:r>
      <w:r w:rsidR="00EC55B5">
        <w:rPr>
          <w:rFonts w:ascii="Calibri" w:hAnsi="Calibri"/>
          <w:sz w:val="24"/>
          <w:szCs w:val="24"/>
        </w:rPr>
        <w:t xml:space="preserve">would be determined to pose a </w:t>
      </w:r>
      <w:r w:rsidRPr="0024293D">
        <w:rPr>
          <w:rFonts w:ascii="Calibri" w:hAnsi="Calibri"/>
          <w:sz w:val="24"/>
          <w:szCs w:val="24"/>
        </w:rPr>
        <w:t xml:space="preserve">potential disparate impact or disproportionate burden. </w:t>
      </w:r>
    </w:p>
    <w:p w14:paraId="18D00F9E" w14:textId="5C2CDFF4" w:rsidR="0024293D" w:rsidRPr="0024293D" w:rsidRDefault="0024293D" w:rsidP="00774293">
      <w:pPr>
        <w:spacing w:before="120"/>
        <w:rPr>
          <w:rFonts w:ascii="Calibri" w:hAnsi="Calibri"/>
          <w:sz w:val="24"/>
          <w:szCs w:val="24"/>
        </w:rPr>
      </w:pPr>
      <w:r w:rsidRPr="0024293D">
        <w:rPr>
          <w:rFonts w:ascii="Calibri" w:hAnsi="Calibri"/>
          <w:sz w:val="24"/>
          <w:szCs w:val="24"/>
        </w:rPr>
        <w:t xml:space="preserve">Upon finding a potential disparate impact on minority populations from a proposed major service change, the MBTA will analyze alternatives/revisions to the proposed change in order to avoid, minimize, or mitigate the potential </w:t>
      </w:r>
      <w:r w:rsidR="00302084">
        <w:rPr>
          <w:rFonts w:ascii="Calibri" w:hAnsi="Calibri"/>
          <w:sz w:val="24"/>
          <w:szCs w:val="24"/>
        </w:rPr>
        <w:t>adverse effects from th</w:t>
      </w:r>
      <w:r w:rsidR="000140E1">
        <w:rPr>
          <w:rFonts w:ascii="Calibri" w:hAnsi="Calibri"/>
          <w:sz w:val="24"/>
          <w:szCs w:val="24"/>
        </w:rPr>
        <w:t xml:space="preserve">e </w:t>
      </w:r>
      <w:r w:rsidR="00A642B1">
        <w:rPr>
          <w:rFonts w:ascii="Calibri" w:hAnsi="Calibri"/>
          <w:sz w:val="24"/>
          <w:szCs w:val="24"/>
        </w:rPr>
        <w:t>change</w:t>
      </w:r>
      <w:r w:rsidRPr="0024293D">
        <w:rPr>
          <w:rFonts w:ascii="Calibri" w:hAnsi="Calibri"/>
          <w:sz w:val="24"/>
          <w:szCs w:val="24"/>
        </w:rPr>
        <w:t xml:space="preserve">. </w:t>
      </w:r>
      <w:r w:rsidR="00905F40">
        <w:rPr>
          <w:rFonts w:ascii="Calibri" w:hAnsi="Calibri"/>
          <w:sz w:val="24"/>
          <w:szCs w:val="24"/>
        </w:rPr>
        <w:t>A</w:t>
      </w:r>
      <w:r w:rsidR="00905F40" w:rsidRPr="00905F40">
        <w:rPr>
          <w:rFonts w:ascii="Calibri" w:hAnsi="Calibri"/>
          <w:sz w:val="24"/>
          <w:szCs w:val="24"/>
        </w:rPr>
        <w:t xml:space="preserve">ny proposed alternative </w:t>
      </w:r>
      <w:r w:rsidR="00905F40">
        <w:rPr>
          <w:rFonts w:ascii="Calibri" w:hAnsi="Calibri"/>
          <w:sz w:val="24"/>
          <w:szCs w:val="24"/>
        </w:rPr>
        <w:t xml:space="preserve">would also be subject to </w:t>
      </w:r>
      <w:r w:rsidRPr="0024293D">
        <w:rPr>
          <w:rFonts w:ascii="Calibri" w:hAnsi="Calibri"/>
          <w:sz w:val="24"/>
          <w:szCs w:val="24"/>
        </w:rPr>
        <w:t>a service equity analysis</w:t>
      </w:r>
      <w:r w:rsidR="00905F40">
        <w:rPr>
          <w:rFonts w:ascii="Calibri" w:hAnsi="Calibri"/>
          <w:sz w:val="24"/>
          <w:szCs w:val="24"/>
        </w:rPr>
        <w:t>.</w:t>
      </w:r>
      <w:r w:rsidRPr="0024293D">
        <w:rPr>
          <w:rFonts w:ascii="Calibri" w:hAnsi="Calibri"/>
          <w:sz w:val="24"/>
          <w:szCs w:val="24"/>
        </w:rPr>
        <w:t xml:space="preserve"> The MBTA will implement a</w:t>
      </w:r>
      <w:r w:rsidR="002F6F2D">
        <w:rPr>
          <w:rFonts w:ascii="Calibri" w:hAnsi="Calibri"/>
          <w:sz w:val="24"/>
          <w:szCs w:val="24"/>
        </w:rPr>
        <w:t>ny</w:t>
      </w:r>
      <w:r w:rsidRPr="0024293D">
        <w:rPr>
          <w:rFonts w:ascii="Calibri" w:hAnsi="Calibri"/>
          <w:sz w:val="24"/>
          <w:szCs w:val="24"/>
        </w:rPr>
        <w:t xml:space="preserve"> proposal </w:t>
      </w:r>
      <w:r w:rsidR="002F6F2D">
        <w:rPr>
          <w:rFonts w:ascii="Calibri" w:hAnsi="Calibri"/>
          <w:sz w:val="24"/>
          <w:szCs w:val="24"/>
        </w:rPr>
        <w:t xml:space="preserve">in accordance with then current FTA guidance.  </w:t>
      </w:r>
    </w:p>
    <w:p w14:paraId="4D20AF96" w14:textId="0BF95E44" w:rsidR="00B44F2F" w:rsidRDefault="0024293D" w:rsidP="00774293">
      <w:pPr>
        <w:spacing w:before="120"/>
        <w:rPr>
          <w:rFonts w:ascii="Calibri" w:hAnsi="Calibri"/>
          <w:sz w:val="24"/>
          <w:szCs w:val="24"/>
        </w:rPr>
      </w:pPr>
      <w:r w:rsidRPr="0024293D" w:rsidDel="000B652C">
        <w:rPr>
          <w:rFonts w:ascii="Calibri" w:hAnsi="Calibri"/>
          <w:sz w:val="24"/>
          <w:szCs w:val="24"/>
        </w:rPr>
        <w:t>Whe</w:t>
      </w:r>
      <w:r w:rsidR="000140E1">
        <w:rPr>
          <w:rFonts w:ascii="Calibri" w:hAnsi="Calibri"/>
          <w:sz w:val="24"/>
          <w:szCs w:val="24"/>
        </w:rPr>
        <w:t>n</w:t>
      </w:r>
      <w:r w:rsidRPr="0024293D" w:rsidDel="000B652C">
        <w:rPr>
          <w:rFonts w:ascii="Calibri" w:hAnsi="Calibri"/>
          <w:sz w:val="24"/>
          <w:szCs w:val="24"/>
        </w:rPr>
        <w:t xml:space="preserve"> potential disparate impacts are identified, the MBTA will provide a meaningful opportunity for public comment on any proposed mitigation measures, including the less discriminatory alternatives that may be available. </w:t>
      </w:r>
    </w:p>
    <w:p w14:paraId="284A2510" w14:textId="339EC3A2" w:rsidR="0024293D" w:rsidRPr="0024293D" w:rsidRDefault="0024293D" w:rsidP="00774293">
      <w:pPr>
        <w:spacing w:before="120"/>
        <w:rPr>
          <w:rFonts w:ascii="Calibri" w:hAnsi="Calibri"/>
          <w:sz w:val="24"/>
          <w:szCs w:val="24"/>
        </w:rPr>
      </w:pPr>
      <w:r w:rsidRPr="0024293D">
        <w:rPr>
          <w:rFonts w:ascii="Calibri" w:hAnsi="Calibri"/>
          <w:sz w:val="24"/>
          <w:szCs w:val="24"/>
        </w:rPr>
        <w:t xml:space="preserve">Upon finding a potential disproportionate burden on low-income populations from a proposed major service change, the MBTA </w:t>
      </w:r>
      <w:r w:rsidR="00CE22E5">
        <w:rPr>
          <w:rFonts w:ascii="Calibri" w:hAnsi="Calibri"/>
          <w:sz w:val="24"/>
          <w:szCs w:val="24"/>
        </w:rPr>
        <w:t xml:space="preserve">may </w:t>
      </w:r>
      <w:r w:rsidRPr="0024293D">
        <w:rPr>
          <w:rFonts w:ascii="Calibri" w:hAnsi="Calibri"/>
          <w:sz w:val="24"/>
          <w:szCs w:val="24"/>
        </w:rPr>
        <w:t>take steps to avoid, minimize, or mitigate these impacts, where practicable</w:t>
      </w:r>
      <w:r w:rsidR="00905F40">
        <w:rPr>
          <w:rFonts w:ascii="Calibri" w:hAnsi="Calibri"/>
          <w:sz w:val="24"/>
          <w:szCs w:val="24"/>
        </w:rPr>
        <w:t>,</w:t>
      </w:r>
      <w:r w:rsidRPr="0024293D">
        <w:rPr>
          <w:rFonts w:ascii="Calibri" w:hAnsi="Calibri"/>
          <w:sz w:val="24"/>
          <w:szCs w:val="24"/>
        </w:rPr>
        <w:t xml:space="preserve"> and will describe alternatives available to the low-income passengers affected by the service changes. </w:t>
      </w:r>
    </w:p>
    <w:p w14:paraId="33EED4A2" w14:textId="77777777" w:rsidR="00CE22E5" w:rsidRPr="00774293" w:rsidRDefault="00CE22E5" w:rsidP="00774293">
      <w:pPr>
        <w:spacing w:before="120"/>
        <w:rPr>
          <w:rFonts w:ascii="Calibri" w:hAnsi="Calibri"/>
          <w:b/>
          <w:sz w:val="16"/>
          <w:szCs w:val="16"/>
        </w:rPr>
      </w:pPr>
    </w:p>
    <w:p w14:paraId="29590478" w14:textId="77777777" w:rsidR="0024293D" w:rsidRPr="0024293D" w:rsidRDefault="0024293D" w:rsidP="00774293">
      <w:pPr>
        <w:spacing w:before="120"/>
        <w:rPr>
          <w:rFonts w:ascii="Calibri" w:hAnsi="Calibri"/>
          <w:b/>
          <w:sz w:val="28"/>
          <w:szCs w:val="24"/>
        </w:rPr>
      </w:pPr>
      <w:r w:rsidRPr="0024293D">
        <w:rPr>
          <w:rFonts w:ascii="Calibri" w:hAnsi="Calibri"/>
          <w:b/>
          <w:sz w:val="28"/>
          <w:szCs w:val="24"/>
        </w:rPr>
        <w:t xml:space="preserve">Fare Equity Analysis </w:t>
      </w:r>
    </w:p>
    <w:p w14:paraId="570D404A" w14:textId="202BC53C" w:rsidR="0024293D" w:rsidRPr="0024293D" w:rsidRDefault="0024293D" w:rsidP="00774293">
      <w:pPr>
        <w:spacing w:before="120"/>
        <w:rPr>
          <w:rFonts w:ascii="Calibri" w:hAnsi="Calibri"/>
          <w:sz w:val="24"/>
          <w:szCs w:val="24"/>
        </w:rPr>
      </w:pPr>
      <w:r w:rsidRPr="0024293D">
        <w:rPr>
          <w:rFonts w:ascii="Calibri" w:hAnsi="Calibri"/>
          <w:sz w:val="24"/>
          <w:szCs w:val="24"/>
        </w:rPr>
        <w:t xml:space="preserve">For all fare changes, the MBTA will compare the </w:t>
      </w:r>
      <w:r w:rsidR="0052013D">
        <w:rPr>
          <w:rFonts w:ascii="Calibri" w:hAnsi="Calibri"/>
          <w:sz w:val="24"/>
          <w:szCs w:val="24"/>
        </w:rPr>
        <w:t>percentage</w:t>
      </w:r>
      <w:r w:rsidRPr="0024293D">
        <w:rPr>
          <w:rFonts w:ascii="Calibri" w:hAnsi="Calibri"/>
          <w:sz w:val="24"/>
          <w:szCs w:val="24"/>
        </w:rPr>
        <w:t xml:space="preserve"> change in the average fare for minority and overall riders and for low-income and overall riders. For fare-type changes across all modes, the MBTA will assess whether minority and low-income customers are more likely to use the affected fare type or media than overall riders. Any or all proposed fare changes will be considered in the aggregate and results evaluated using the fare DI/DB threshold, below. </w:t>
      </w:r>
    </w:p>
    <w:p w14:paraId="732192FE" w14:textId="77777777" w:rsidR="00EC55B5" w:rsidRPr="00EC55B5" w:rsidRDefault="00EC55B5" w:rsidP="00774293">
      <w:pPr>
        <w:spacing w:before="120"/>
        <w:rPr>
          <w:rFonts w:ascii="Calibri" w:hAnsi="Calibri"/>
          <w:sz w:val="16"/>
          <w:szCs w:val="16"/>
          <w:u w:val="single"/>
        </w:rPr>
      </w:pPr>
    </w:p>
    <w:p w14:paraId="65BCB15D" w14:textId="77777777" w:rsidR="0024293D" w:rsidRPr="0024293D" w:rsidRDefault="0024293D" w:rsidP="00774293">
      <w:pPr>
        <w:spacing w:before="120"/>
        <w:rPr>
          <w:rFonts w:ascii="Calibri" w:hAnsi="Calibri"/>
          <w:sz w:val="24"/>
          <w:szCs w:val="24"/>
        </w:rPr>
      </w:pPr>
      <w:r w:rsidRPr="0024293D">
        <w:rPr>
          <w:rFonts w:ascii="Calibri" w:hAnsi="Calibri"/>
          <w:sz w:val="24"/>
          <w:szCs w:val="24"/>
          <w:u w:val="single"/>
        </w:rPr>
        <w:t>Disparate Impact/Disproportionate Burden Policy for Fare Changes</w:t>
      </w:r>
    </w:p>
    <w:p w14:paraId="12ED2A09" w14:textId="77777777" w:rsidR="0024293D" w:rsidRPr="0024293D" w:rsidRDefault="0024293D" w:rsidP="00774293">
      <w:pPr>
        <w:spacing w:before="120"/>
        <w:rPr>
          <w:rFonts w:ascii="Calibri" w:hAnsi="Calibri"/>
          <w:sz w:val="24"/>
          <w:szCs w:val="24"/>
        </w:rPr>
      </w:pPr>
      <w:r w:rsidRPr="0024293D">
        <w:rPr>
          <w:rFonts w:ascii="Calibri" w:hAnsi="Calibri"/>
          <w:sz w:val="24"/>
          <w:szCs w:val="24"/>
        </w:rPr>
        <w:t xml:space="preserve">The MBTA’s threshold for determining when fare changes may result in disparate impacts or disproportionate burdens on minority or low-income populations, respectively, is 10%. </w:t>
      </w:r>
    </w:p>
    <w:p w14:paraId="4E4C922E" w14:textId="425D3723" w:rsidR="0024293D" w:rsidRPr="0024293D" w:rsidRDefault="0024293D" w:rsidP="00774293">
      <w:pPr>
        <w:spacing w:before="120"/>
        <w:rPr>
          <w:rFonts w:ascii="Calibri" w:hAnsi="Calibri"/>
          <w:sz w:val="24"/>
          <w:szCs w:val="24"/>
        </w:rPr>
      </w:pPr>
      <w:r w:rsidRPr="0024293D">
        <w:rPr>
          <w:rFonts w:ascii="Calibri" w:hAnsi="Calibri"/>
          <w:sz w:val="24"/>
          <w:szCs w:val="24"/>
        </w:rPr>
        <w:t xml:space="preserve">Upon finding a potential disparate impact on minority populations from a proposed fare change, the MBTA will analyze alternatives/revisions to the proposed change that meet the same goals of the original proposal. </w:t>
      </w:r>
      <w:r w:rsidR="00905F40">
        <w:rPr>
          <w:rFonts w:ascii="Calibri" w:hAnsi="Calibri"/>
          <w:sz w:val="24"/>
          <w:szCs w:val="24"/>
        </w:rPr>
        <w:t>A</w:t>
      </w:r>
      <w:r w:rsidR="00905F40" w:rsidRPr="00905F40">
        <w:rPr>
          <w:rFonts w:ascii="Calibri" w:hAnsi="Calibri"/>
          <w:sz w:val="24"/>
          <w:szCs w:val="24"/>
        </w:rPr>
        <w:t xml:space="preserve">ny proposed alternative fare change </w:t>
      </w:r>
      <w:r w:rsidR="00905F40">
        <w:rPr>
          <w:rFonts w:ascii="Calibri" w:hAnsi="Calibri"/>
          <w:sz w:val="24"/>
          <w:szCs w:val="24"/>
        </w:rPr>
        <w:t>would be subject to a fare</w:t>
      </w:r>
      <w:r w:rsidRPr="0024293D">
        <w:rPr>
          <w:rFonts w:ascii="Calibri" w:hAnsi="Calibri"/>
          <w:sz w:val="24"/>
          <w:szCs w:val="24"/>
        </w:rPr>
        <w:t xml:space="preserve"> equity analysis</w:t>
      </w:r>
      <w:r w:rsidR="00905F40">
        <w:rPr>
          <w:rFonts w:ascii="Calibri" w:hAnsi="Calibri"/>
          <w:sz w:val="24"/>
          <w:szCs w:val="24"/>
        </w:rPr>
        <w:t>.</w:t>
      </w:r>
      <w:r w:rsidRPr="0024293D">
        <w:rPr>
          <w:rFonts w:ascii="Calibri" w:hAnsi="Calibri"/>
          <w:sz w:val="24"/>
          <w:szCs w:val="24"/>
        </w:rPr>
        <w:t xml:space="preserve">  The MBTA will implement a</w:t>
      </w:r>
      <w:r w:rsidR="002F6F2D">
        <w:rPr>
          <w:rFonts w:ascii="Calibri" w:hAnsi="Calibri"/>
          <w:sz w:val="24"/>
          <w:szCs w:val="24"/>
        </w:rPr>
        <w:t>ny</w:t>
      </w:r>
      <w:r w:rsidR="00905F40">
        <w:rPr>
          <w:rFonts w:ascii="Calibri" w:hAnsi="Calibri"/>
          <w:sz w:val="24"/>
          <w:szCs w:val="24"/>
        </w:rPr>
        <w:t xml:space="preserve"> </w:t>
      </w:r>
      <w:r w:rsidRPr="0024293D">
        <w:rPr>
          <w:rFonts w:ascii="Calibri" w:hAnsi="Calibri"/>
          <w:sz w:val="24"/>
          <w:szCs w:val="24"/>
        </w:rPr>
        <w:t xml:space="preserve">proposal </w:t>
      </w:r>
      <w:r w:rsidR="002F6F2D">
        <w:rPr>
          <w:rFonts w:ascii="Calibri" w:hAnsi="Calibri"/>
          <w:sz w:val="24"/>
          <w:szCs w:val="24"/>
        </w:rPr>
        <w:t xml:space="preserve">in accordance with then current FTA guidance. </w:t>
      </w:r>
    </w:p>
    <w:p w14:paraId="50B80BE4" w14:textId="77777777" w:rsidR="0024293D" w:rsidRPr="0024293D" w:rsidRDefault="0024293D" w:rsidP="00774293">
      <w:pPr>
        <w:spacing w:before="120"/>
        <w:rPr>
          <w:rFonts w:ascii="Calibri" w:hAnsi="Calibri"/>
          <w:sz w:val="24"/>
          <w:szCs w:val="24"/>
        </w:rPr>
      </w:pPr>
      <w:r w:rsidRPr="0024293D">
        <w:rPr>
          <w:rFonts w:ascii="Calibri" w:hAnsi="Calibri"/>
          <w:sz w:val="24"/>
          <w:szCs w:val="24"/>
        </w:rPr>
        <w:t>Where potential disparate impacts are identified, the MBTA will provide a meaningful opportunity for public comment on any proposed mitigation measures, including any less discriminatory alternatives that may be available.</w:t>
      </w:r>
    </w:p>
    <w:p w14:paraId="6E7AA5DF" w14:textId="77777777" w:rsidR="0024293D" w:rsidRPr="0024293D" w:rsidRDefault="0024293D" w:rsidP="00774293">
      <w:pPr>
        <w:spacing w:before="120"/>
        <w:rPr>
          <w:rFonts w:ascii="Calibri" w:hAnsi="Calibri"/>
          <w:sz w:val="24"/>
          <w:szCs w:val="24"/>
        </w:rPr>
      </w:pPr>
      <w:r w:rsidRPr="0024293D">
        <w:rPr>
          <w:rFonts w:ascii="Calibri" w:hAnsi="Calibri"/>
          <w:sz w:val="24"/>
          <w:szCs w:val="24"/>
        </w:rPr>
        <w:t xml:space="preserve">Upon finding a potential disproportionate burden on low-income populations from a proposed fare change, the MBTA may take steps to avoid, minimize, or mitigate these impacts, where practicable. </w:t>
      </w:r>
    </w:p>
    <w:p w14:paraId="2543B2F9" w14:textId="77777777" w:rsidR="00774293" w:rsidRDefault="00774293" w:rsidP="00774293">
      <w:pPr>
        <w:spacing w:before="120"/>
        <w:rPr>
          <w:rFonts w:ascii="Calibri" w:hAnsi="Calibri"/>
          <w:b/>
          <w:sz w:val="16"/>
          <w:szCs w:val="16"/>
        </w:rPr>
        <w:sectPr w:rsidR="00774293" w:rsidSect="00341C6A">
          <w:footerReference w:type="default" r:id="rId9"/>
          <w:pgSz w:w="12240" w:h="15840"/>
          <w:pgMar w:top="1440" w:right="1440" w:bottom="720" w:left="1440" w:header="288" w:footer="288" w:gutter="0"/>
          <w:cols w:space="720"/>
          <w:noEndnote/>
          <w:docGrid w:linePitch="272"/>
        </w:sectPr>
      </w:pPr>
    </w:p>
    <w:p w14:paraId="43D97CC3" w14:textId="77777777" w:rsidR="0024293D" w:rsidRDefault="0024293D" w:rsidP="00774293">
      <w:pPr>
        <w:spacing w:before="120"/>
        <w:rPr>
          <w:rFonts w:ascii="Calibri" w:hAnsi="Calibri"/>
          <w:b/>
          <w:sz w:val="28"/>
          <w:szCs w:val="24"/>
        </w:rPr>
      </w:pPr>
      <w:r w:rsidRPr="00774293">
        <w:rPr>
          <w:rFonts w:ascii="Calibri" w:hAnsi="Calibri"/>
          <w:b/>
          <w:sz w:val="28"/>
          <w:szCs w:val="24"/>
        </w:rPr>
        <w:t>Definitions</w:t>
      </w:r>
    </w:p>
    <w:p w14:paraId="4FC8181B" w14:textId="3A3622AA" w:rsidR="002F6F2D" w:rsidRPr="0024293D" w:rsidRDefault="002F6F2D" w:rsidP="002F6F2D">
      <w:pPr>
        <w:spacing w:before="120"/>
        <w:rPr>
          <w:rFonts w:ascii="Calibri" w:hAnsi="Calibri"/>
          <w:sz w:val="24"/>
          <w:szCs w:val="24"/>
        </w:rPr>
      </w:pPr>
      <w:r w:rsidRPr="002F6F2D">
        <w:rPr>
          <w:rFonts w:ascii="Calibri" w:hAnsi="Calibri"/>
          <w:sz w:val="24"/>
          <w:szCs w:val="24"/>
        </w:rPr>
        <w:t xml:space="preserve">(Note: </w:t>
      </w:r>
      <w:r w:rsidRPr="0024293D">
        <w:rPr>
          <w:rFonts w:ascii="Calibri" w:hAnsi="Calibri"/>
          <w:sz w:val="24"/>
          <w:szCs w:val="24"/>
        </w:rPr>
        <w:t xml:space="preserve">These definitions are drawn </w:t>
      </w:r>
      <w:r>
        <w:rPr>
          <w:rFonts w:ascii="Calibri" w:hAnsi="Calibri"/>
          <w:sz w:val="24"/>
          <w:szCs w:val="24"/>
        </w:rPr>
        <w:t xml:space="preserve">from </w:t>
      </w:r>
      <w:r w:rsidRPr="0024293D">
        <w:rPr>
          <w:rFonts w:ascii="Calibri" w:hAnsi="Calibri"/>
          <w:sz w:val="24"/>
          <w:szCs w:val="24"/>
        </w:rPr>
        <w:t>a broader set of definitions provided by the FTA in its Title VI Circular 4702.1B</w:t>
      </w:r>
      <w:r>
        <w:rPr>
          <w:rFonts w:ascii="Calibri" w:hAnsi="Calibri"/>
          <w:sz w:val="24"/>
          <w:szCs w:val="24"/>
        </w:rPr>
        <w:t>)</w:t>
      </w:r>
    </w:p>
    <w:p w14:paraId="09941FE2" w14:textId="77777777"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Demand response system: Any non-fixed route system of transporting individuals that requires advanced scheduling including services provided by public entities, non-profits, and private providers. An advance request for service is a key characteristic of demand response service.</w:t>
      </w:r>
    </w:p>
    <w:p w14:paraId="1297C8D1" w14:textId="77777777"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Discrimination: refers to any action or inaction, whether intentional or unintentional, in any program or activity of a Federal-aid recipient, subrecipient, or contractor that results in disparate treatment, disparate impact, or perpetuating the effects of prior discrimination based on race, color, or national origin.</w:t>
      </w:r>
    </w:p>
    <w:p w14:paraId="63FFB7BD" w14:textId="77777777"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Disparate Impact: refers to a facially neutral policy or practice that disproportionately affects members of a group identified by race, color, or national origin, where the recipient’s policy or practice lacks a substantial legitimate justification and where there exists one or more alternatives that would serve the same legitimate objectives but with less disproportionate effect on the basis of race, color, or national origin.</w:t>
      </w:r>
    </w:p>
    <w:p w14:paraId="6438C83E" w14:textId="64559212"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Disproportionate Burden: refers to a neutral policy or practice that disproportionately affects, whether by benefit or burden, low-income populations more than non-low-income populations, related to a major service change or fare modification</w:t>
      </w:r>
      <w:r w:rsidR="00905F40">
        <w:rPr>
          <w:rFonts w:ascii="Calibri" w:hAnsi="Calibri"/>
          <w:sz w:val="24"/>
          <w:szCs w:val="24"/>
        </w:rPr>
        <w:t xml:space="preserve"> proposal</w:t>
      </w:r>
      <w:r w:rsidRPr="0024293D">
        <w:rPr>
          <w:rFonts w:ascii="Calibri" w:hAnsi="Calibri"/>
          <w:sz w:val="24"/>
          <w:szCs w:val="24"/>
        </w:rPr>
        <w:t xml:space="preserve">.  A finding of disproportionate burden requires the recipient to evaluate alternatives and mitigate burdens where practicable. </w:t>
      </w:r>
    </w:p>
    <w:p w14:paraId="7166D2A7" w14:textId="77777777"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Disparate Treatment: refers to actions that result in circumstances where similarly situated persons are intentionally treated differently than others because of their race, color, or national origin.</w:t>
      </w:r>
    </w:p>
    <w:p w14:paraId="10AC5299" w14:textId="77777777"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Fixed Route: refers to public transportation service provided in vehicles operated along pre-determined routes according to a fixed schedule.</w:t>
      </w:r>
    </w:p>
    <w:p w14:paraId="3DE969B6" w14:textId="77777777"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 xml:space="preserve">Low-Income Household: those households with income less than 60 percent of the median household income of the MBTA service area. </w:t>
      </w:r>
    </w:p>
    <w:p w14:paraId="3E893273" w14:textId="77777777"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Low-Income Census Tract: one in which the median household income is less than 60% of the median household income for the MBTA service area ($43,415 in 2015, and subject to annual modification).</w:t>
      </w:r>
    </w:p>
    <w:p w14:paraId="30613C9F" w14:textId="33578716"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 xml:space="preserve">Low-Income Population: any readily identifiable group of low-income persons who live in geographic proximity, and, if circumstances warrant, geographically dispersed/transient persons (such as migrant workers or Native Americans) who will be similarly affected by a proposed </w:t>
      </w:r>
      <w:r w:rsidR="00774293">
        <w:rPr>
          <w:rFonts w:ascii="Calibri" w:hAnsi="Calibri"/>
          <w:sz w:val="24"/>
          <w:szCs w:val="24"/>
        </w:rPr>
        <w:t xml:space="preserve">MBTA </w:t>
      </w:r>
      <w:r w:rsidRPr="0024293D">
        <w:rPr>
          <w:rFonts w:ascii="Calibri" w:hAnsi="Calibri"/>
          <w:sz w:val="24"/>
          <w:szCs w:val="24"/>
        </w:rPr>
        <w:t xml:space="preserve">program, policy, or activity. </w:t>
      </w:r>
    </w:p>
    <w:p w14:paraId="1D5F673F" w14:textId="77777777" w:rsidR="0024293D" w:rsidRPr="0024293D" w:rsidRDefault="0024293D" w:rsidP="00774293">
      <w:pPr>
        <w:numPr>
          <w:ilvl w:val="0"/>
          <w:numId w:val="47"/>
        </w:numPr>
        <w:spacing w:before="120"/>
        <w:rPr>
          <w:rFonts w:ascii="Calibri" w:hAnsi="Calibri"/>
          <w:sz w:val="24"/>
          <w:szCs w:val="24"/>
        </w:rPr>
      </w:pPr>
      <w:r w:rsidRPr="0024293D">
        <w:rPr>
          <w:rFonts w:ascii="Calibri" w:hAnsi="Calibri"/>
          <w:sz w:val="24"/>
          <w:szCs w:val="24"/>
        </w:rPr>
        <w:t>Minority Individual: one who identifies as belonging in any one or more of the following US census categories: American Indian and Alaska Native; Asian; Black or African American; Hispanic or Latino (of any race); Native Hawaiian or Other Pacific Islander.</w:t>
      </w:r>
    </w:p>
    <w:p w14:paraId="70089A4D" w14:textId="77777777" w:rsidR="0024293D" w:rsidRPr="0024293D" w:rsidRDefault="0024293D" w:rsidP="00774293">
      <w:pPr>
        <w:numPr>
          <w:ilvl w:val="0"/>
          <w:numId w:val="48"/>
        </w:numPr>
        <w:spacing w:before="120"/>
        <w:rPr>
          <w:rFonts w:ascii="Calibri" w:hAnsi="Calibri"/>
          <w:sz w:val="24"/>
          <w:szCs w:val="24"/>
        </w:rPr>
      </w:pPr>
      <w:r w:rsidRPr="0024293D">
        <w:rPr>
          <w:rFonts w:ascii="Calibri" w:hAnsi="Calibri"/>
          <w:sz w:val="24"/>
          <w:szCs w:val="24"/>
        </w:rPr>
        <w:t xml:space="preserve">Minority Census Tracts: one in which the minority percentage exceeds the systemwide average (26.19% in 2015, and subject to annual modification). </w:t>
      </w:r>
    </w:p>
    <w:p w14:paraId="15146194" w14:textId="1955D5FD" w:rsidR="0024293D" w:rsidRPr="0024293D" w:rsidRDefault="0024293D" w:rsidP="00774293">
      <w:pPr>
        <w:numPr>
          <w:ilvl w:val="0"/>
          <w:numId w:val="48"/>
        </w:numPr>
        <w:spacing w:before="120"/>
        <w:rPr>
          <w:rFonts w:ascii="Calibri" w:hAnsi="Calibri"/>
          <w:sz w:val="24"/>
          <w:szCs w:val="24"/>
        </w:rPr>
      </w:pPr>
      <w:r w:rsidRPr="0024293D">
        <w:rPr>
          <w:rFonts w:ascii="Calibri" w:hAnsi="Calibri"/>
          <w:sz w:val="24"/>
          <w:szCs w:val="24"/>
        </w:rPr>
        <w:t xml:space="preserve">Minority Population: any readily identifiable group of minority persons who live in geographic proximity, and, if circumstances warrant, geographically dispersed/transient persons (such as migrant workers or Native Americans) who will be similarly affected by a proposed </w:t>
      </w:r>
      <w:r w:rsidR="00774293">
        <w:rPr>
          <w:rFonts w:ascii="Calibri" w:hAnsi="Calibri"/>
          <w:sz w:val="24"/>
          <w:szCs w:val="24"/>
        </w:rPr>
        <w:t>MBTA</w:t>
      </w:r>
      <w:r w:rsidRPr="0024293D">
        <w:rPr>
          <w:rFonts w:ascii="Calibri" w:hAnsi="Calibri"/>
          <w:sz w:val="24"/>
          <w:szCs w:val="24"/>
        </w:rPr>
        <w:t xml:space="preserve"> program, policy, or activity.  </w:t>
      </w:r>
    </w:p>
    <w:p w14:paraId="49F029EE" w14:textId="77777777" w:rsidR="0024293D" w:rsidRPr="0024293D" w:rsidRDefault="0024293D" w:rsidP="00774293">
      <w:pPr>
        <w:numPr>
          <w:ilvl w:val="0"/>
          <w:numId w:val="48"/>
        </w:numPr>
        <w:spacing w:before="120"/>
        <w:rPr>
          <w:rFonts w:ascii="Calibri" w:hAnsi="Calibri"/>
          <w:sz w:val="24"/>
          <w:szCs w:val="24"/>
        </w:rPr>
      </w:pPr>
      <w:r w:rsidRPr="0024293D">
        <w:rPr>
          <w:rFonts w:ascii="Calibri" w:hAnsi="Calibri"/>
          <w:sz w:val="24"/>
          <w:szCs w:val="24"/>
        </w:rPr>
        <w:t xml:space="preserve">Revenue Vehicle Hours (per week): the total number of hours per week in which transit vehicles operate in revenue service. </w:t>
      </w:r>
    </w:p>
    <w:p w14:paraId="1D856E06" w14:textId="77777777" w:rsidR="0024293D" w:rsidRPr="0024293D" w:rsidRDefault="0024293D" w:rsidP="00774293">
      <w:pPr>
        <w:numPr>
          <w:ilvl w:val="0"/>
          <w:numId w:val="48"/>
        </w:numPr>
        <w:spacing w:before="120"/>
        <w:rPr>
          <w:rFonts w:ascii="Calibri" w:hAnsi="Calibri"/>
          <w:sz w:val="24"/>
          <w:szCs w:val="24"/>
        </w:rPr>
      </w:pPr>
      <w:r w:rsidRPr="0024293D">
        <w:rPr>
          <w:rFonts w:ascii="Calibri" w:hAnsi="Calibri"/>
          <w:sz w:val="24"/>
          <w:szCs w:val="24"/>
        </w:rPr>
        <w:t xml:space="preserve">Route Length: the physical length of a transit route, as measured in miles. </w:t>
      </w:r>
    </w:p>
    <w:p w14:paraId="369B52BC" w14:textId="77777777" w:rsidR="0039223F" w:rsidRPr="0039223F" w:rsidRDefault="0039223F" w:rsidP="00774293">
      <w:pPr>
        <w:spacing w:before="120"/>
        <w:rPr>
          <w:rFonts w:ascii="Calibri" w:hAnsi="Calibri"/>
          <w:sz w:val="16"/>
          <w:szCs w:val="16"/>
        </w:rPr>
      </w:pPr>
    </w:p>
    <w:sectPr w:rsidR="0039223F" w:rsidRPr="0039223F" w:rsidSect="00341C6A">
      <w:pgSz w:w="12240" w:h="15840"/>
      <w:pgMar w:top="1440" w:right="1440" w:bottom="720" w:left="1440" w:header="288"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F8D48" w14:textId="77777777" w:rsidR="00856A72" w:rsidRDefault="00856A72" w:rsidP="00FD0EF4">
      <w:r>
        <w:separator/>
      </w:r>
    </w:p>
  </w:endnote>
  <w:endnote w:type="continuationSeparator" w:id="0">
    <w:p w14:paraId="5EEDA1CC" w14:textId="77777777" w:rsidR="00856A72" w:rsidRDefault="00856A72" w:rsidP="00FD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2520"/>
      <w:gridCol w:w="3150"/>
    </w:tblGrid>
    <w:tr w:rsidR="00ED231F" w14:paraId="4D858A81" w14:textId="77777777" w:rsidTr="005E2C05">
      <w:trPr>
        <w:trHeight w:val="720"/>
      </w:trPr>
      <w:tc>
        <w:tcPr>
          <w:tcW w:w="3690" w:type="dxa"/>
          <w:vAlign w:val="center"/>
        </w:tcPr>
        <w:p w14:paraId="374FA74E" w14:textId="77777777" w:rsidR="00ED231F" w:rsidRDefault="00ED231F" w:rsidP="00C40D34">
          <w:pPr>
            <w:jc w:val="center"/>
            <w:rPr>
              <w:i/>
            </w:rPr>
          </w:pPr>
          <w:r>
            <w:rPr>
              <w:i/>
            </w:rPr>
            <w:t>Policy Title</w:t>
          </w:r>
        </w:p>
        <w:p w14:paraId="05D23089" w14:textId="649DF4F7" w:rsidR="00ED231F" w:rsidRPr="00D13C01" w:rsidRDefault="005E2C05" w:rsidP="00C05A41">
          <w:pPr>
            <w:jc w:val="center"/>
            <w:rPr>
              <w:b/>
              <w:sz w:val="24"/>
            </w:rPr>
          </w:pPr>
          <w:r>
            <w:rPr>
              <w:b/>
              <w:sz w:val="24"/>
            </w:rPr>
            <w:t xml:space="preserve">Disparate Impact/ Disproportionate Burden </w:t>
          </w:r>
        </w:p>
      </w:tc>
      <w:tc>
        <w:tcPr>
          <w:tcW w:w="2520" w:type="dxa"/>
        </w:tcPr>
        <w:p w14:paraId="6B9C9909" w14:textId="77777777" w:rsidR="00ED231F" w:rsidRPr="002B377C" w:rsidRDefault="00ED231F" w:rsidP="005E2C05">
          <w:pPr>
            <w:jc w:val="center"/>
            <w:rPr>
              <w:i/>
            </w:rPr>
          </w:pPr>
          <w:r w:rsidRPr="002B377C">
            <w:rPr>
              <w:i/>
            </w:rPr>
            <w:t>Supersedes</w:t>
          </w:r>
        </w:p>
        <w:p w14:paraId="71A7E0FB" w14:textId="1A5AABA3" w:rsidR="00ED231F" w:rsidRPr="00D13C01" w:rsidRDefault="005E2C05" w:rsidP="005E2C05">
          <w:pPr>
            <w:spacing w:line="242" w:lineRule="auto"/>
            <w:ind w:right="159"/>
            <w:rPr>
              <w:b/>
            </w:rPr>
          </w:pPr>
          <w:r>
            <w:rPr>
              <w:b/>
            </w:rPr>
            <w:t>DI/DB Policy of May 14, 2014</w:t>
          </w:r>
        </w:p>
      </w:tc>
      <w:tc>
        <w:tcPr>
          <w:tcW w:w="3150" w:type="dxa"/>
        </w:tcPr>
        <w:p w14:paraId="1ACB9700" w14:textId="2BF86D72" w:rsidR="005E2C05" w:rsidRPr="005E2C05" w:rsidRDefault="005E2C05" w:rsidP="0016781C">
          <w:pPr>
            <w:pStyle w:val="Heading4"/>
            <w:rPr>
              <w:b w:val="0"/>
              <w:i/>
              <w:snapToGrid w:val="0"/>
              <w:sz w:val="20"/>
            </w:rPr>
          </w:pPr>
          <w:r w:rsidRPr="005E2C05">
            <w:rPr>
              <w:b w:val="0"/>
              <w:i/>
              <w:snapToGrid w:val="0"/>
              <w:sz w:val="20"/>
            </w:rPr>
            <w:t>Page</w:t>
          </w:r>
          <w:r>
            <w:rPr>
              <w:b w:val="0"/>
              <w:i/>
              <w:snapToGrid w:val="0"/>
              <w:sz w:val="20"/>
            </w:rPr>
            <w:t xml:space="preserve"> Number</w:t>
          </w:r>
        </w:p>
        <w:p w14:paraId="0F6CAABA" w14:textId="77777777" w:rsidR="005E2C05" w:rsidRDefault="005E2C05" w:rsidP="0016781C">
          <w:pPr>
            <w:pStyle w:val="Heading4"/>
            <w:rPr>
              <w:snapToGrid w:val="0"/>
              <w:sz w:val="20"/>
            </w:rPr>
          </w:pPr>
        </w:p>
        <w:p w14:paraId="506F00FB" w14:textId="6EE52B6C" w:rsidR="00ED231F" w:rsidRDefault="00420F82" w:rsidP="0016781C">
          <w:pPr>
            <w:pStyle w:val="Heading4"/>
          </w:pPr>
          <w:r w:rsidRPr="00B33663">
            <w:rPr>
              <w:snapToGrid w:val="0"/>
              <w:sz w:val="20"/>
            </w:rPr>
            <w:fldChar w:fldCharType="begin"/>
          </w:r>
          <w:r w:rsidR="00ED231F" w:rsidRPr="00B33663">
            <w:rPr>
              <w:snapToGrid w:val="0"/>
              <w:sz w:val="20"/>
            </w:rPr>
            <w:instrText xml:space="preserve"> PAGE </w:instrText>
          </w:r>
          <w:r w:rsidRPr="00B33663">
            <w:rPr>
              <w:snapToGrid w:val="0"/>
              <w:sz w:val="20"/>
            </w:rPr>
            <w:fldChar w:fldCharType="separate"/>
          </w:r>
          <w:r w:rsidR="00856A72">
            <w:rPr>
              <w:noProof/>
              <w:snapToGrid w:val="0"/>
              <w:sz w:val="20"/>
            </w:rPr>
            <w:t>1</w:t>
          </w:r>
          <w:r w:rsidRPr="00B33663">
            <w:rPr>
              <w:snapToGrid w:val="0"/>
              <w:sz w:val="20"/>
            </w:rPr>
            <w:fldChar w:fldCharType="end"/>
          </w:r>
          <w:r w:rsidR="00ED231F" w:rsidRPr="00B33663">
            <w:rPr>
              <w:snapToGrid w:val="0"/>
              <w:sz w:val="20"/>
            </w:rPr>
            <w:t xml:space="preserve"> of</w:t>
          </w:r>
          <w:r w:rsidR="00B33663" w:rsidRPr="00B33663">
            <w:rPr>
              <w:snapToGrid w:val="0"/>
              <w:sz w:val="20"/>
            </w:rPr>
            <w:t xml:space="preserve"> </w:t>
          </w:r>
          <w:r w:rsidR="0016781C">
            <w:rPr>
              <w:snapToGrid w:val="0"/>
              <w:sz w:val="20"/>
            </w:rPr>
            <w:t>6</w:t>
          </w:r>
        </w:p>
      </w:tc>
    </w:tr>
  </w:tbl>
  <w:p w14:paraId="171F513B" w14:textId="77777777" w:rsidR="00ED231F" w:rsidRDefault="00ED2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71126" w14:textId="77777777" w:rsidR="00856A72" w:rsidRDefault="00856A72" w:rsidP="00FD0EF4">
      <w:r>
        <w:separator/>
      </w:r>
    </w:p>
  </w:footnote>
  <w:footnote w:type="continuationSeparator" w:id="0">
    <w:p w14:paraId="5B9F238B" w14:textId="77777777" w:rsidR="00856A72" w:rsidRDefault="00856A72" w:rsidP="00FD0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405"/>
    <w:multiLevelType w:val="hybridMultilevel"/>
    <w:tmpl w:val="F6B62BAC"/>
    <w:lvl w:ilvl="0" w:tplc="B5029F06">
      <w:start w:val="1"/>
      <w:numFmt w:val="upperLetter"/>
      <w:lvlText w:val="(%1)"/>
      <w:lvlJc w:val="left"/>
      <w:pPr>
        <w:tabs>
          <w:tab w:val="num" w:pos="612"/>
        </w:tabs>
        <w:ind w:left="612" w:hanging="432"/>
      </w:pPr>
      <w:rPr>
        <w:rFonts w:hint="default"/>
        <w:b/>
        <w:i w:val="0"/>
        <w:color w:val="auto"/>
      </w:rPr>
    </w:lvl>
    <w:lvl w:ilvl="1" w:tplc="BA500994">
      <w:start w:val="6"/>
      <w:numFmt w:val="upperLetter"/>
      <w:lvlText w:val="(%2)"/>
      <w:lvlJc w:val="left"/>
      <w:pPr>
        <w:tabs>
          <w:tab w:val="num" w:pos="900"/>
        </w:tabs>
        <w:ind w:left="900" w:hanging="360"/>
      </w:pPr>
      <w:rPr>
        <w:rFonts w:hint="default"/>
        <w:b/>
        <w:i w:val="0"/>
      </w:rPr>
    </w:lvl>
    <w:lvl w:ilvl="2" w:tplc="0409001B">
      <w:start w:val="1"/>
      <w:numFmt w:val="lowerRoman"/>
      <w:lvlText w:val="%3."/>
      <w:lvlJc w:val="right"/>
      <w:pPr>
        <w:tabs>
          <w:tab w:val="num" w:pos="1620"/>
        </w:tabs>
        <w:ind w:left="1620" w:hanging="180"/>
      </w:pPr>
    </w:lvl>
    <w:lvl w:ilvl="3" w:tplc="24D8E7A4">
      <w:start w:val="1"/>
      <w:numFmt w:val="decimal"/>
      <w:lvlText w:val="(%4)"/>
      <w:lvlJc w:val="left"/>
      <w:pPr>
        <w:tabs>
          <w:tab w:val="num" w:pos="1548"/>
        </w:tabs>
        <w:ind w:left="1548" w:hanging="360"/>
      </w:pPr>
      <w:rPr>
        <w:rFonts w:hint="default"/>
        <w:b/>
        <w:i w:val="0"/>
      </w:r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0E33F6B"/>
    <w:multiLevelType w:val="hybridMultilevel"/>
    <w:tmpl w:val="8D70A53E"/>
    <w:lvl w:ilvl="0" w:tplc="D778AD0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3B72D8D"/>
    <w:multiLevelType w:val="hybridMultilevel"/>
    <w:tmpl w:val="C8643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15545"/>
    <w:multiLevelType w:val="multilevel"/>
    <w:tmpl w:val="7F52E010"/>
    <w:lvl w:ilvl="0">
      <w:start w:val="1"/>
      <w:numFmt w:val="upperLetter"/>
      <w:lvlText w:val="%1."/>
      <w:lvlJc w:val="left"/>
      <w:pPr>
        <w:ind w:left="1800" w:hanging="360"/>
      </w:pPr>
      <w:rPr>
        <w:rFonts w:hint="default"/>
      </w:rPr>
    </w:lvl>
    <w:lvl w:ilvl="1">
      <w:start w:val="1"/>
      <w:numFmt w:val="decimal"/>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06B02B5C"/>
    <w:multiLevelType w:val="hybridMultilevel"/>
    <w:tmpl w:val="ED9C2D3A"/>
    <w:lvl w:ilvl="0" w:tplc="0484AB12">
      <w:start w:val="2"/>
      <w:numFmt w:val="decimal"/>
      <w:lvlText w:val="(%1)"/>
      <w:lvlJc w:val="left"/>
      <w:pPr>
        <w:tabs>
          <w:tab w:val="num" w:pos="720"/>
        </w:tabs>
        <w:ind w:left="720" w:hanging="360"/>
      </w:pPr>
      <w:rPr>
        <w:rFonts w:hint="default"/>
        <w:b/>
        <w:sz w:val="24"/>
      </w:rPr>
    </w:lvl>
    <w:lvl w:ilvl="1" w:tplc="2656294E">
      <w:start w:val="1"/>
      <w:numFmt w:val="upperLetter"/>
      <w:lvlText w:val="(%2)"/>
      <w:lvlJc w:val="left"/>
      <w:pPr>
        <w:tabs>
          <w:tab w:val="num" w:pos="612"/>
        </w:tabs>
        <w:ind w:left="612" w:hanging="432"/>
      </w:pPr>
      <w:rPr>
        <w:rFonts w:hint="default"/>
        <w:b/>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4A5077"/>
    <w:multiLevelType w:val="hybridMultilevel"/>
    <w:tmpl w:val="E1A04A80"/>
    <w:lvl w:ilvl="0" w:tplc="1F929386">
      <w:start w:val="1"/>
      <w:numFmt w:val="upperLetter"/>
      <w:lvlText w:val="(%1)"/>
      <w:lvlJc w:val="left"/>
      <w:pPr>
        <w:tabs>
          <w:tab w:val="num" w:pos="1332"/>
        </w:tabs>
        <w:ind w:left="1332" w:hanging="432"/>
      </w:pPr>
      <w:rPr>
        <w:rFonts w:hint="default"/>
        <w:b/>
        <w:i w:val="0"/>
      </w:rPr>
    </w:lvl>
    <w:lvl w:ilvl="1" w:tplc="1B9EEF96">
      <w:start w:val="1"/>
      <w:numFmt w:val="decimal"/>
      <w:lvlText w:val="(%2)"/>
      <w:lvlJc w:val="left"/>
      <w:pPr>
        <w:tabs>
          <w:tab w:val="num" w:pos="2268"/>
        </w:tabs>
        <w:ind w:left="2268" w:hanging="360"/>
      </w:pPr>
      <w:rPr>
        <w:rFonts w:hint="default"/>
        <w:b/>
        <w:i w:val="0"/>
      </w:rPr>
    </w:lvl>
    <w:lvl w:ilvl="2" w:tplc="CDE6859C">
      <w:start w:val="1"/>
      <w:numFmt w:val="none"/>
      <w:lvlText w:val="(F)"/>
      <w:lvlJc w:val="left"/>
      <w:pPr>
        <w:tabs>
          <w:tab w:val="num" w:pos="2520"/>
        </w:tabs>
        <w:ind w:left="2520" w:hanging="360"/>
      </w:pPr>
      <w:rPr>
        <w:rFonts w:hint="default"/>
        <w:b/>
        <w:i w:val="0"/>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8530717"/>
    <w:multiLevelType w:val="hybridMultilevel"/>
    <w:tmpl w:val="FE245A80"/>
    <w:lvl w:ilvl="0" w:tplc="4348A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A55ACF"/>
    <w:multiLevelType w:val="hybridMultilevel"/>
    <w:tmpl w:val="2AF44E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04090001">
      <w:start w:val="1"/>
      <w:numFmt w:val="bullet"/>
      <w:lvlText w:val=""/>
      <w:lvlJc w:val="left"/>
      <w:pPr>
        <w:tabs>
          <w:tab w:val="num" w:pos="1080"/>
        </w:tabs>
        <w:ind w:left="1080" w:hanging="360"/>
      </w:pPr>
      <w:rPr>
        <w:rFonts w:ascii="Symbol" w:hAnsi="Symbol" w:hint="default"/>
      </w:rPr>
    </w:lvl>
    <w:lvl w:ilvl="5" w:tplc="04090001">
      <w:start w:val="1"/>
      <w:numFmt w:val="bullet"/>
      <w:lvlText w:val=""/>
      <w:lvlJc w:val="left"/>
      <w:pPr>
        <w:tabs>
          <w:tab w:val="num" w:pos="1080"/>
        </w:tabs>
        <w:ind w:left="1080" w:hanging="360"/>
      </w:pPr>
      <w:rPr>
        <w:rFonts w:ascii="Symbol" w:hAnsi="Symbol" w:hint="default"/>
      </w:rPr>
    </w:lvl>
    <w:lvl w:ilvl="6" w:tplc="3CD0898E">
      <w:start w:val="1"/>
      <w:numFmt w:val="upperLetter"/>
      <w:lvlText w:val="%7."/>
      <w:lvlJc w:val="left"/>
      <w:pPr>
        <w:tabs>
          <w:tab w:val="num" w:pos="5460"/>
        </w:tabs>
        <w:ind w:left="5460" w:hanging="360"/>
      </w:pPr>
      <w:rPr>
        <w:rFonts w:hint="default"/>
      </w:r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08F2644F"/>
    <w:multiLevelType w:val="hybridMultilevel"/>
    <w:tmpl w:val="360E04C8"/>
    <w:lvl w:ilvl="0" w:tplc="0EC639DA">
      <w:start w:val="1"/>
      <w:numFmt w:val="bullet"/>
      <w:lvlText w:val="o"/>
      <w:lvlJc w:val="left"/>
      <w:pPr>
        <w:tabs>
          <w:tab w:val="num" w:pos="3240"/>
        </w:tabs>
        <w:ind w:left="3240" w:hanging="2520"/>
      </w:pPr>
      <w:rPr>
        <w:rFonts w:hAnsi="Courier New" w:hint="default"/>
      </w:rPr>
    </w:lvl>
    <w:lvl w:ilvl="1" w:tplc="B2446244">
      <w:start w:val="1"/>
      <w:numFmt w:val="upperLetter"/>
      <w:lvlText w:val="%2."/>
      <w:lvlJc w:val="left"/>
      <w:pPr>
        <w:tabs>
          <w:tab w:val="num" w:pos="1152"/>
        </w:tabs>
        <w:ind w:left="1152" w:hanging="432"/>
      </w:pPr>
      <w:rPr>
        <w:rFonts w:hint="default"/>
        <w:b/>
        <w:i w:val="0"/>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0E1D20CA"/>
    <w:multiLevelType w:val="hybridMultilevel"/>
    <w:tmpl w:val="D51886BC"/>
    <w:lvl w:ilvl="0" w:tplc="324E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F70D3"/>
    <w:multiLevelType w:val="hybridMultilevel"/>
    <w:tmpl w:val="407A05EC"/>
    <w:lvl w:ilvl="0" w:tplc="829C1A60">
      <w:start w:val="1"/>
      <w:numFmt w:val="upperLetter"/>
      <w:lvlText w:val="%1."/>
      <w:lvlJc w:val="left"/>
      <w:pPr>
        <w:tabs>
          <w:tab w:val="num" w:pos="1152"/>
        </w:tabs>
        <w:ind w:left="115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CB23E8"/>
    <w:multiLevelType w:val="hybridMultilevel"/>
    <w:tmpl w:val="5560A124"/>
    <w:lvl w:ilvl="0" w:tplc="B1A8E8AA">
      <w:start w:val="1"/>
      <w:numFmt w:val="upperLetter"/>
      <w:lvlText w:val="(%1)"/>
      <w:lvlJc w:val="left"/>
      <w:pPr>
        <w:tabs>
          <w:tab w:val="num" w:pos="1512"/>
        </w:tabs>
        <w:ind w:left="1512"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9F50FF"/>
    <w:multiLevelType w:val="hybridMultilevel"/>
    <w:tmpl w:val="FBD256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10C17F5C"/>
    <w:multiLevelType w:val="multilevel"/>
    <w:tmpl w:val="5950DF80"/>
    <w:lvl w:ilvl="0">
      <w:start w:val="1"/>
      <w:numFmt w:val="upperRoman"/>
      <w:lvlText w:val="%1."/>
      <w:lvlJc w:val="left"/>
      <w:pPr>
        <w:tabs>
          <w:tab w:val="num" w:pos="720"/>
        </w:tabs>
        <w:ind w:left="720" w:hanging="720"/>
      </w:pPr>
      <w:rPr>
        <w:rFonts w:hint="default"/>
        <w:b/>
      </w:rPr>
    </w:lvl>
    <w:lvl w:ilvl="1">
      <w:start w:val="2"/>
      <w:numFmt w:val="upperLetter"/>
      <w:lvlText w:val="(%2)"/>
      <w:lvlJc w:val="left"/>
      <w:pPr>
        <w:tabs>
          <w:tab w:val="num" w:pos="1872"/>
        </w:tabs>
        <w:ind w:left="1872" w:hanging="432"/>
      </w:pPr>
      <w:rPr>
        <w:rFonts w:hint="default"/>
        <w:b/>
        <w:i w:val="0"/>
      </w:rPr>
    </w:lvl>
    <w:lvl w:ilvl="2">
      <w:start w:val="6"/>
      <w:numFmt w:val="upperRoman"/>
      <w:lvlText w:val="%3."/>
      <w:lvlJc w:val="left"/>
      <w:pPr>
        <w:ind w:left="108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195326D"/>
    <w:multiLevelType w:val="hybridMultilevel"/>
    <w:tmpl w:val="4DF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32417"/>
    <w:multiLevelType w:val="hybridMultilevel"/>
    <w:tmpl w:val="51F218F4"/>
    <w:lvl w:ilvl="0" w:tplc="4AB6B1F2">
      <w:start w:val="1"/>
      <w:numFmt w:val="upperLetter"/>
      <w:lvlText w:val="(%1)"/>
      <w:lvlJc w:val="left"/>
      <w:pPr>
        <w:tabs>
          <w:tab w:val="num" w:pos="1152"/>
        </w:tabs>
        <w:ind w:left="1152" w:hanging="432"/>
      </w:pPr>
      <w:rPr>
        <w:rFonts w:hint="default"/>
        <w:b/>
        <w:i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1ACF3119"/>
    <w:multiLevelType w:val="hybridMultilevel"/>
    <w:tmpl w:val="26F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662D6C"/>
    <w:multiLevelType w:val="hybridMultilevel"/>
    <w:tmpl w:val="6D141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82E4C"/>
    <w:multiLevelType w:val="hybridMultilevel"/>
    <w:tmpl w:val="CB8C2D2A"/>
    <w:lvl w:ilvl="0" w:tplc="18524BB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76C6D"/>
    <w:multiLevelType w:val="multilevel"/>
    <w:tmpl w:val="5950DF80"/>
    <w:lvl w:ilvl="0">
      <w:start w:val="1"/>
      <w:numFmt w:val="upperRoman"/>
      <w:lvlText w:val="%1."/>
      <w:lvlJc w:val="left"/>
      <w:pPr>
        <w:tabs>
          <w:tab w:val="num" w:pos="720"/>
        </w:tabs>
        <w:ind w:left="720" w:hanging="720"/>
      </w:pPr>
      <w:rPr>
        <w:rFonts w:hint="default"/>
        <w:b/>
      </w:rPr>
    </w:lvl>
    <w:lvl w:ilvl="1">
      <w:start w:val="2"/>
      <w:numFmt w:val="upperLetter"/>
      <w:lvlText w:val="(%2)"/>
      <w:lvlJc w:val="left"/>
      <w:pPr>
        <w:tabs>
          <w:tab w:val="num" w:pos="1872"/>
        </w:tabs>
        <w:ind w:left="1872" w:hanging="432"/>
      </w:pPr>
      <w:rPr>
        <w:rFonts w:hint="default"/>
        <w:b/>
        <w:i w:val="0"/>
      </w:rPr>
    </w:lvl>
    <w:lvl w:ilvl="2">
      <w:start w:val="6"/>
      <w:numFmt w:val="upperRoman"/>
      <w:lvlText w:val="%3."/>
      <w:lvlJc w:val="left"/>
      <w:pPr>
        <w:ind w:left="108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599120C"/>
    <w:multiLevelType w:val="hybridMultilevel"/>
    <w:tmpl w:val="6526EE8A"/>
    <w:lvl w:ilvl="0" w:tplc="953A37F4">
      <w:start w:val="4"/>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DF42A9E"/>
    <w:multiLevelType w:val="hybridMultilevel"/>
    <w:tmpl w:val="2FD2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A76D31"/>
    <w:multiLevelType w:val="multilevel"/>
    <w:tmpl w:val="5950DF80"/>
    <w:lvl w:ilvl="0">
      <w:start w:val="1"/>
      <w:numFmt w:val="upperRoman"/>
      <w:lvlText w:val="%1."/>
      <w:lvlJc w:val="left"/>
      <w:pPr>
        <w:tabs>
          <w:tab w:val="num" w:pos="720"/>
        </w:tabs>
        <w:ind w:left="720" w:hanging="720"/>
      </w:pPr>
      <w:rPr>
        <w:rFonts w:hint="default"/>
        <w:b/>
      </w:rPr>
    </w:lvl>
    <w:lvl w:ilvl="1">
      <w:start w:val="2"/>
      <w:numFmt w:val="upperLetter"/>
      <w:lvlText w:val="(%2)"/>
      <w:lvlJc w:val="left"/>
      <w:pPr>
        <w:tabs>
          <w:tab w:val="num" w:pos="1872"/>
        </w:tabs>
        <w:ind w:left="1872" w:hanging="432"/>
      </w:pPr>
      <w:rPr>
        <w:rFonts w:hint="default"/>
        <w:b/>
        <w:i w:val="0"/>
      </w:rPr>
    </w:lvl>
    <w:lvl w:ilvl="2">
      <w:start w:val="6"/>
      <w:numFmt w:val="upperRoman"/>
      <w:lvlText w:val="%3."/>
      <w:lvlJc w:val="left"/>
      <w:pPr>
        <w:ind w:left="108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F8F2D8B"/>
    <w:multiLevelType w:val="hybridMultilevel"/>
    <w:tmpl w:val="D08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76F66"/>
    <w:multiLevelType w:val="hybridMultilevel"/>
    <w:tmpl w:val="8D70A53E"/>
    <w:lvl w:ilvl="0" w:tplc="D778AD00">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37626A4A"/>
    <w:multiLevelType w:val="hybridMultilevel"/>
    <w:tmpl w:val="D4A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7A2EC8"/>
    <w:multiLevelType w:val="hybridMultilevel"/>
    <w:tmpl w:val="F3C0D56A"/>
    <w:lvl w:ilvl="0" w:tplc="2E62E1D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7B425D"/>
    <w:multiLevelType w:val="hybridMultilevel"/>
    <w:tmpl w:val="E36AFB8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3F795267"/>
    <w:multiLevelType w:val="hybridMultilevel"/>
    <w:tmpl w:val="96EC5FDA"/>
    <w:lvl w:ilvl="0" w:tplc="6B5AFD7E">
      <w:start w:val="4"/>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201624B"/>
    <w:multiLevelType w:val="hybridMultilevel"/>
    <w:tmpl w:val="B8C4A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A71026"/>
    <w:multiLevelType w:val="hybridMultilevel"/>
    <w:tmpl w:val="6A12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010554"/>
    <w:multiLevelType w:val="hybridMultilevel"/>
    <w:tmpl w:val="CC1E528A"/>
    <w:lvl w:ilvl="0" w:tplc="3DF40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32139C"/>
    <w:multiLevelType w:val="hybridMultilevel"/>
    <w:tmpl w:val="D7F426CE"/>
    <w:lvl w:ilvl="0" w:tplc="1278C4E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24593E"/>
    <w:multiLevelType w:val="hybridMultilevel"/>
    <w:tmpl w:val="83CA4C14"/>
    <w:lvl w:ilvl="0" w:tplc="18524B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C726E4"/>
    <w:multiLevelType w:val="hybridMultilevel"/>
    <w:tmpl w:val="513C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122D58"/>
    <w:multiLevelType w:val="hybridMultilevel"/>
    <w:tmpl w:val="954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679DC"/>
    <w:multiLevelType w:val="hybridMultilevel"/>
    <w:tmpl w:val="B2805260"/>
    <w:lvl w:ilvl="0" w:tplc="15E43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21057D"/>
    <w:multiLevelType w:val="hybridMultilevel"/>
    <w:tmpl w:val="C3A4144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A1A61F8"/>
    <w:multiLevelType w:val="hybridMultilevel"/>
    <w:tmpl w:val="7F50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4245FE"/>
    <w:multiLevelType w:val="hybridMultilevel"/>
    <w:tmpl w:val="CE24CA4A"/>
    <w:lvl w:ilvl="0" w:tplc="AF3E5C80">
      <w:start w:val="1"/>
      <w:numFmt w:val="upperLetter"/>
      <w:lvlText w:val="(%1)"/>
      <w:lvlJc w:val="left"/>
      <w:pPr>
        <w:tabs>
          <w:tab w:val="num" w:pos="1872"/>
        </w:tabs>
        <w:ind w:left="1872" w:hanging="432"/>
      </w:pPr>
      <w:rPr>
        <w:rFonts w:hint="default"/>
        <w:b/>
        <w:i w:val="0"/>
      </w:rPr>
    </w:lvl>
    <w:lvl w:ilvl="1" w:tplc="14A2E344">
      <w:start w:val="2"/>
      <w:numFmt w:val="upperLetter"/>
      <w:lvlText w:val="(%2)"/>
      <w:lvlJc w:val="left"/>
      <w:pPr>
        <w:tabs>
          <w:tab w:val="num" w:pos="1872"/>
        </w:tabs>
        <w:ind w:left="1872" w:hanging="432"/>
      </w:pPr>
      <w:rPr>
        <w:rFonts w:hint="default"/>
        <w:b/>
        <w:i w:val="0"/>
      </w:rPr>
    </w:lvl>
    <w:lvl w:ilvl="2" w:tplc="16168712">
      <w:start w:val="6"/>
      <w:numFmt w:val="upperRoman"/>
      <w:lvlText w:val="%3."/>
      <w:lvlJc w:val="left"/>
      <w:pPr>
        <w:ind w:left="108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2B1F57"/>
    <w:multiLevelType w:val="hybridMultilevel"/>
    <w:tmpl w:val="8FC8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4746FE"/>
    <w:multiLevelType w:val="hybridMultilevel"/>
    <w:tmpl w:val="89B0C484"/>
    <w:lvl w:ilvl="0" w:tplc="7200D98E">
      <w:start w:val="1"/>
      <w:numFmt w:val="upperLetter"/>
      <w:lvlText w:val="(%1)"/>
      <w:lvlJc w:val="left"/>
      <w:pPr>
        <w:tabs>
          <w:tab w:val="num" w:pos="1080"/>
        </w:tabs>
        <w:ind w:left="1080" w:hanging="360"/>
      </w:pPr>
      <w:rPr>
        <w:rFonts w:hint="default"/>
        <w:b/>
        <w:i w:val="0"/>
      </w:rPr>
    </w:lvl>
    <w:lvl w:ilvl="1" w:tplc="5FBE5BC4">
      <w:start w:val="1"/>
      <w:numFmt w:val="upperLetter"/>
      <w:lvlText w:val="(%2)"/>
      <w:lvlJc w:val="left"/>
      <w:pPr>
        <w:tabs>
          <w:tab w:val="num" w:pos="1512"/>
        </w:tabs>
        <w:ind w:left="1512" w:hanging="432"/>
      </w:pPr>
      <w:rPr>
        <w:rFonts w:hint="default"/>
        <w:b/>
        <w:i w:val="0"/>
      </w:rPr>
    </w:lvl>
    <w:lvl w:ilvl="2" w:tplc="68F84F66">
      <w:start w:val="2"/>
      <w:numFmt w:val="upperLetter"/>
      <w:lvlText w:val="(%3)"/>
      <w:lvlJc w:val="left"/>
      <w:pPr>
        <w:tabs>
          <w:tab w:val="num" w:pos="1512"/>
        </w:tabs>
        <w:ind w:left="1512" w:hanging="432"/>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29F4010"/>
    <w:multiLevelType w:val="hybridMultilevel"/>
    <w:tmpl w:val="E9D6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D02278"/>
    <w:multiLevelType w:val="hybridMultilevel"/>
    <w:tmpl w:val="2C8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3923EC"/>
    <w:multiLevelType w:val="hybridMultilevel"/>
    <w:tmpl w:val="90801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7340FF"/>
    <w:multiLevelType w:val="hybridMultilevel"/>
    <w:tmpl w:val="9E907F34"/>
    <w:lvl w:ilvl="0" w:tplc="0CAECF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F26A10"/>
    <w:multiLevelType w:val="multilevel"/>
    <w:tmpl w:val="7F52E010"/>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6DA4712F"/>
    <w:multiLevelType w:val="hybridMultilevel"/>
    <w:tmpl w:val="44B08F9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2B42C76"/>
    <w:multiLevelType w:val="multilevel"/>
    <w:tmpl w:val="7F52E010"/>
    <w:lvl w:ilvl="0">
      <w:start w:val="1"/>
      <w:numFmt w:val="upperLetter"/>
      <w:lvlText w:val="%1."/>
      <w:lvlJc w:val="left"/>
      <w:pPr>
        <w:ind w:left="1260" w:hanging="360"/>
      </w:pPr>
      <w:rPr>
        <w:rFonts w:hint="default"/>
      </w:rPr>
    </w:lvl>
    <w:lvl w:ilvl="1">
      <w:start w:val="1"/>
      <w:numFmt w:val="decimal"/>
      <w:lvlText w:val="%2."/>
      <w:lvlJc w:val="left"/>
      <w:pPr>
        <w:ind w:left="1980" w:hanging="360"/>
      </w:pPr>
      <w:rPr>
        <w:rFonts w:hint="default"/>
      </w:r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9">
    <w:nsid w:val="7F9B334F"/>
    <w:multiLevelType w:val="hybridMultilevel"/>
    <w:tmpl w:val="4484FFF8"/>
    <w:lvl w:ilvl="0" w:tplc="04090001">
      <w:start w:val="1"/>
      <w:numFmt w:val="bullet"/>
      <w:lvlText w:val=""/>
      <w:lvlJc w:val="left"/>
      <w:pPr>
        <w:tabs>
          <w:tab w:val="num" w:pos="1080"/>
        </w:tabs>
        <w:ind w:left="1080" w:hanging="360"/>
      </w:pPr>
      <w:rPr>
        <w:rFonts w:ascii="Symbol" w:hAnsi="Symbol" w:hint="default"/>
      </w:rPr>
    </w:lvl>
    <w:lvl w:ilvl="1" w:tplc="FA1830E2">
      <w:start w:val="1"/>
      <w:numFmt w:val="upperLetter"/>
      <w:lvlText w:val="(%2)"/>
      <w:lvlJc w:val="left"/>
      <w:pPr>
        <w:tabs>
          <w:tab w:val="num" w:pos="1512"/>
        </w:tabs>
        <w:ind w:left="1512" w:hanging="432"/>
      </w:pPr>
      <w:rPr>
        <w:rFonts w:hint="default"/>
        <w:b/>
        <w:i w:val="0"/>
      </w:rPr>
    </w:lvl>
    <w:lvl w:ilvl="2" w:tplc="87601062">
      <w:start w:val="1"/>
      <w:numFmt w:val="decimal"/>
      <w:lvlText w:val="(%3)"/>
      <w:lvlJc w:val="left"/>
      <w:pPr>
        <w:tabs>
          <w:tab w:val="num" w:pos="1620"/>
        </w:tabs>
        <w:ind w:left="1620" w:hanging="360"/>
      </w:pPr>
      <w:rPr>
        <w:rFonts w:hint="default"/>
        <w:b/>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9"/>
  </w:num>
  <w:num w:numId="2">
    <w:abstractNumId w:val="27"/>
  </w:num>
  <w:num w:numId="3">
    <w:abstractNumId w:val="1"/>
  </w:num>
  <w:num w:numId="4">
    <w:abstractNumId w:val="24"/>
  </w:num>
  <w:num w:numId="5">
    <w:abstractNumId w:val="12"/>
  </w:num>
  <w:num w:numId="6">
    <w:abstractNumId w:val="37"/>
  </w:num>
  <w:num w:numId="7">
    <w:abstractNumId w:val="44"/>
  </w:num>
  <w:num w:numId="8">
    <w:abstractNumId w:val="32"/>
  </w:num>
  <w:num w:numId="9">
    <w:abstractNumId w:val="46"/>
  </w:num>
  <w:num w:numId="10">
    <w:abstractNumId w:val="48"/>
  </w:num>
  <w:num w:numId="11">
    <w:abstractNumId w:val="3"/>
  </w:num>
  <w:num w:numId="12">
    <w:abstractNumId w:val="6"/>
  </w:num>
  <w:num w:numId="13">
    <w:abstractNumId w:val="28"/>
  </w:num>
  <w:num w:numId="14">
    <w:abstractNumId w:val="36"/>
  </w:num>
  <w:num w:numId="15">
    <w:abstractNumId w:val="20"/>
  </w:num>
  <w:num w:numId="16">
    <w:abstractNumId w:val="49"/>
  </w:num>
  <w:num w:numId="17">
    <w:abstractNumId w:val="7"/>
  </w:num>
  <w:num w:numId="18">
    <w:abstractNumId w:val="11"/>
  </w:num>
  <w:num w:numId="19">
    <w:abstractNumId w:val="0"/>
  </w:num>
  <w:num w:numId="20">
    <w:abstractNumId w:val="5"/>
  </w:num>
  <w:num w:numId="21">
    <w:abstractNumId w:val="4"/>
  </w:num>
  <w:num w:numId="22">
    <w:abstractNumId w:val="15"/>
  </w:num>
  <w:num w:numId="23">
    <w:abstractNumId w:val="41"/>
  </w:num>
  <w:num w:numId="24">
    <w:abstractNumId w:val="39"/>
  </w:num>
  <w:num w:numId="25">
    <w:abstractNumId w:val="10"/>
  </w:num>
  <w:num w:numId="26">
    <w:abstractNumId w:val="8"/>
  </w:num>
  <w:num w:numId="27">
    <w:abstractNumId w:val="2"/>
  </w:num>
  <w:num w:numId="28">
    <w:abstractNumId w:val="16"/>
  </w:num>
  <w:num w:numId="29">
    <w:abstractNumId w:val="35"/>
  </w:num>
  <w:num w:numId="30">
    <w:abstractNumId w:val="23"/>
  </w:num>
  <w:num w:numId="31">
    <w:abstractNumId w:val="42"/>
  </w:num>
  <w:num w:numId="32">
    <w:abstractNumId w:val="43"/>
  </w:num>
  <w:num w:numId="33">
    <w:abstractNumId w:val="17"/>
  </w:num>
  <w:num w:numId="34">
    <w:abstractNumId w:val="33"/>
  </w:num>
  <w:num w:numId="35">
    <w:abstractNumId w:val="18"/>
  </w:num>
  <w:num w:numId="36">
    <w:abstractNumId w:val="45"/>
  </w:num>
  <w:num w:numId="37">
    <w:abstractNumId w:val="34"/>
  </w:num>
  <w:num w:numId="38">
    <w:abstractNumId w:val="30"/>
  </w:num>
  <w:num w:numId="39">
    <w:abstractNumId w:val="38"/>
  </w:num>
  <w:num w:numId="40">
    <w:abstractNumId w:val="31"/>
  </w:num>
  <w:num w:numId="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9"/>
  </w:num>
  <w:num w:numId="44">
    <w:abstractNumId w:val="26"/>
  </w:num>
  <w:num w:numId="45">
    <w:abstractNumId w:val="22"/>
  </w:num>
  <w:num w:numId="46">
    <w:abstractNumId w:val="13"/>
  </w:num>
  <w:num w:numId="47">
    <w:abstractNumId w:val="25"/>
  </w:num>
  <w:num w:numId="48">
    <w:abstractNumId w:val="14"/>
  </w:num>
  <w:num w:numId="49">
    <w:abstractNumId w:val="2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1MzaysLQ0NDMzNDJT0lEKTi0uzszPAykwqgUASy/rpiwAAAA="/>
  </w:docVars>
  <w:rsids>
    <w:rsidRoot w:val="00A66EA3"/>
    <w:rsid w:val="000027BC"/>
    <w:rsid w:val="00003332"/>
    <w:rsid w:val="00005BB1"/>
    <w:rsid w:val="0001016A"/>
    <w:rsid w:val="000140E1"/>
    <w:rsid w:val="00014F9D"/>
    <w:rsid w:val="000163DC"/>
    <w:rsid w:val="0002026D"/>
    <w:rsid w:val="00026D9B"/>
    <w:rsid w:val="00027F26"/>
    <w:rsid w:val="00035A1C"/>
    <w:rsid w:val="00035FFE"/>
    <w:rsid w:val="00042832"/>
    <w:rsid w:val="00043AEA"/>
    <w:rsid w:val="00043FC0"/>
    <w:rsid w:val="00046835"/>
    <w:rsid w:val="00053FAE"/>
    <w:rsid w:val="0005602C"/>
    <w:rsid w:val="00057C1D"/>
    <w:rsid w:val="0006140D"/>
    <w:rsid w:val="00062E65"/>
    <w:rsid w:val="00063EEB"/>
    <w:rsid w:val="00066966"/>
    <w:rsid w:val="0007212A"/>
    <w:rsid w:val="00073008"/>
    <w:rsid w:val="0007706F"/>
    <w:rsid w:val="00077589"/>
    <w:rsid w:val="0009184F"/>
    <w:rsid w:val="00095105"/>
    <w:rsid w:val="000A0621"/>
    <w:rsid w:val="000A5F05"/>
    <w:rsid w:val="000B1B2B"/>
    <w:rsid w:val="000B5784"/>
    <w:rsid w:val="000C1573"/>
    <w:rsid w:val="000C3E68"/>
    <w:rsid w:val="000C5AAB"/>
    <w:rsid w:val="000D28ED"/>
    <w:rsid w:val="000E1614"/>
    <w:rsid w:val="000E43A2"/>
    <w:rsid w:val="000E5D37"/>
    <w:rsid w:val="000E7A53"/>
    <w:rsid w:val="000F3C23"/>
    <w:rsid w:val="000F648E"/>
    <w:rsid w:val="000F7353"/>
    <w:rsid w:val="00102CBE"/>
    <w:rsid w:val="001058B7"/>
    <w:rsid w:val="00106FCC"/>
    <w:rsid w:val="001255B1"/>
    <w:rsid w:val="001311FA"/>
    <w:rsid w:val="00137B3C"/>
    <w:rsid w:val="00141CC5"/>
    <w:rsid w:val="001455BE"/>
    <w:rsid w:val="00145E78"/>
    <w:rsid w:val="00147EC7"/>
    <w:rsid w:val="001514EC"/>
    <w:rsid w:val="00152B01"/>
    <w:rsid w:val="00155359"/>
    <w:rsid w:val="00155A41"/>
    <w:rsid w:val="00157A21"/>
    <w:rsid w:val="00162167"/>
    <w:rsid w:val="00162AD0"/>
    <w:rsid w:val="00165A6A"/>
    <w:rsid w:val="0016705D"/>
    <w:rsid w:val="0016781C"/>
    <w:rsid w:val="00167E7A"/>
    <w:rsid w:val="00171AF2"/>
    <w:rsid w:val="00177BB3"/>
    <w:rsid w:val="0018296C"/>
    <w:rsid w:val="00182ACD"/>
    <w:rsid w:val="001840CF"/>
    <w:rsid w:val="00185F4E"/>
    <w:rsid w:val="001911D1"/>
    <w:rsid w:val="00191D9D"/>
    <w:rsid w:val="00197638"/>
    <w:rsid w:val="001A33FA"/>
    <w:rsid w:val="001A64D1"/>
    <w:rsid w:val="001A6771"/>
    <w:rsid w:val="001B33A5"/>
    <w:rsid w:val="001B4767"/>
    <w:rsid w:val="001C3491"/>
    <w:rsid w:val="001C45D2"/>
    <w:rsid w:val="001C4765"/>
    <w:rsid w:val="001C6CC2"/>
    <w:rsid w:val="001C7728"/>
    <w:rsid w:val="001E0967"/>
    <w:rsid w:val="001F3B5D"/>
    <w:rsid w:val="00200393"/>
    <w:rsid w:val="002103FD"/>
    <w:rsid w:val="00210D87"/>
    <w:rsid w:val="002151F0"/>
    <w:rsid w:val="00216363"/>
    <w:rsid w:val="002166F6"/>
    <w:rsid w:val="0021782B"/>
    <w:rsid w:val="00223096"/>
    <w:rsid w:val="00235366"/>
    <w:rsid w:val="00240EDC"/>
    <w:rsid w:val="0024293D"/>
    <w:rsid w:val="00243217"/>
    <w:rsid w:val="002449DA"/>
    <w:rsid w:val="00245663"/>
    <w:rsid w:val="00245F47"/>
    <w:rsid w:val="00252FC8"/>
    <w:rsid w:val="00253C85"/>
    <w:rsid w:val="00255188"/>
    <w:rsid w:val="0025611E"/>
    <w:rsid w:val="00260FCF"/>
    <w:rsid w:val="002617D4"/>
    <w:rsid w:val="00274848"/>
    <w:rsid w:val="00274E42"/>
    <w:rsid w:val="00276F14"/>
    <w:rsid w:val="002816F6"/>
    <w:rsid w:val="002871CF"/>
    <w:rsid w:val="00287688"/>
    <w:rsid w:val="00290149"/>
    <w:rsid w:val="002915EF"/>
    <w:rsid w:val="0029238D"/>
    <w:rsid w:val="002949C4"/>
    <w:rsid w:val="002A3EFF"/>
    <w:rsid w:val="002B2806"/>
    <w:rsid w:val="002B30CB"/>
    <w:rsid w:val="002B4EB9"/>
    <w:rsid w:val="002B6AED"/>
    <w:rsid w:val="002C1900"/>
    <w:rsid w:val="002D3441"/>
    <w:rsid w:val="002E1497"/>
    <w:rsid w:val="002E25D2"/>
    <w:rsid w:val="002F6F2D"/>
    <w:rsid w:val="00301079"/>
    <w:rsid w:val="00302084"/>
    <w:rsid w:val="00302298"/>
    <w:rsid w:val="0030269D"/>
    <w:rsid w:val="00303B40"/>
    <w:rsid w:val="00305142"/>
    <w:rsid w:val="003058A7"/>
    <w:rsid w:val="003072B5"/>
    <w:rsid w:val="00311BBF"/>
    <w:rsid w:val="0031293D"/>
    <w:rsid w:val="00313A43"/>
    <w:rsid w:val="003221D0"/>
    <w:rsid w:val="00334DE3"/>
    <w:rsid w:val="00336923"/>
    <w:rsid w:val="003409F7"/>
    <w:rsid w:val="00340DF1"/>
    <w:rsid w:val="003412A7"/>
    <w:rsid w:val="00341C6A"/>
    <w:rsid w:val="00345CF3"/>
    <w:rsid w:val="00352D4F"/>
    <w:rsid w:val="003545AE"/>
    <w:rsid w:val="00355AFC"/>
    <w:rsid w:val="00356CC8"/>
    <w:rsid w:val="00360EA8"/>
    <w:rsid w:val="00362863"/>
    <w:rsid w:val="003672E6"/>
    <w:rsid w:val="00367603"/>
    <w:rsid w:val="0037035D"/>
    <w:rsid w:val="00370FD5"/>
    <w:rsid w:val="00373BD7"/>
    <w:rsid w:val="00375B06"/>
    <w:rsid w:val="00375E22"/>
    <w:rsid w:val="0038413A"/>
    <w:rsid w:val="00384F2F"/>
    <w:rsid w:val="00385491"/>
    <w:rsid w:val="00385908"/>
    <w:rsid w:val="00387444"/>
    <w:rsid w:val="00390E10"/>
    <w:rsid w:val="00390EE4"/>
    <w:rsid w:val="0039223F"/>
    <w:rsid w:val="0039554D"/>
    <w:rsid w:val="003B324A"/>
    <w:rsid w:val="003B3A85"/>
    <w:rsid w:val="003B4D0B"/>
    <w:rsid w:val="003B51DC"/>
    <w:rsid w:val="003C00D4"/>
    <w:rsid w:val="003C5A20"/>
    <w:rsid w:val="003D2784"/>
    <w:rsid w:val="003E1736"/>
    <w:rsid w:val="003E23B1"/>
    <w:rsid w:val="003E4D5C"/>
    <w:rsid w:val="003E6650"/>
    <w:rsid w:val="003F078C"/>
    <w:rsid w:val="00400B15"/>
    <w:rsid w:val="004105E8"/>
    <w:rsid w:val="00411B36"/>
    <w:rsid w:val="00420F82"/>
    <w:rsid w:val="004248D2"/>
    <w:rsid w:val="00426039"/>
    <w:rsid w:val="00433A2A"/>
    <w:rsid w:val="00437CEE"/>
    <w:rsid w:val="00443250"/>
    <w:rsid w:val="004513E2"/>
    <w:rsid w:val="00452CF5"/>
    <w:rsid w:val="00456C2C"/>
    <w:rsid w:val="0046034B"/>
    <w:rsid w:val="00472AD2"/>
    <w:rsid w:val="00473DD9"/>
    <w:rsid w:val="00474C57"/>
    <w:rsid w:val="00476217"/>
    <w:rsid w:val="00483F49"/>
    <w:rsid w:val="00485233"/>
    <w:rsid w:val="00490F8B"/>
    <w:rsid w:val="0049131D"/>
    <w:rsid w:val="00492F6C"/>
    <w:rsid w:val="004942B8"/>
    <w:rsid w:val="004B0195"/>
    <w:rsid w:val="004B0A60"/>
    <w:rsid w:val="004B0A86"/>
    <w:rsid w:val="004B0F0C"/>
    <w:rsid w:val="004B3387"/>
    <w:rsid w:val="004B7B0A"/>
    <w:rsid w:val="004C0039"/>
    <w:rsid w:val="004C15DF"/>
    <w:rsid w:val="004D0D58"/>
    <w:rsid w:val="004D3FFA"/>
    <w:rsid w:val="004E174B"/>
    <w:rsid w:val="004E192B"/>
    <w:rsid w:val="004F0129"/>
    <w:rsid w:val="004F289C"/>
    <w:rsid w:val="004F2A6D"/>
    <w:rsid w:val="004F5DF4"/>
    <w:rsid w:val="004F642A"/>
    <w:rsid w:val="0050226B"/>
    <w:rsid w:val="005079AA"/>
    <w:rsid w:val="00507E9B"/>
    <w:rsid w:val="005101F4"/>
    <w:rsid w:val="0052013D"/>
    <w:rsid w:val="00520CBB"/>
    <w:rsid w:val="005251ED"/>
    <w:rsid w:val="0052617F"/>
    <w:rsid w:val="0052657C"/>
    <w:rsid w:val="00527F9B"/>
    <w:rsid w:val="00531851"/>
    <w:rsid w:val="00531B2B"/>
    <w:rsid w:val="00533746"/>
    <w:rsid w:val="00537A11"/>
    <w:rsid w:val="00540C60"/>
    <w:rsid w:val="00540E30"/>
    <w:rsid w:val="00545383"/>
    <w:rsid w:val="0055335A"/>
    <w:rsid w:val="00553A80"/>
    <w:rsid w:val="00554F24"/>
    <w:rsid w:val="005564D5"/>
    <w:rsid w:val="00557863"/>
    <w:rsid w:val="00561BF7"/>
    <w:rsid w:val="00561D6F"/>
    <w:rsid w:val="00571F3A"/>
    <w:rsid w:val="00571F4F"/>
    <w:rsid w:val="005723D4"/>
    <w:rsid w:val="005731EF"/>
    <w:rsid w:val="005772B6"/>
    <w:rsid w:val="00581BB7"/>
    <w:rsid w:val="00584714"/>
    <w:rsid w:val="005857F8"/>
    <w:rsid w:val="00590C47"/>
    <w:rsid w:val="00591D86"/>
    <w:rsid w:val="005927A4"/>
    <w:rsid w:val="00595C86"/>
    <w:rsid w:val="005A06DA"/>
    <w:rsid w:val="005A1659"/>
    <w:rsid w:val="005A6600"/>
    <w:rsid w:val="005A719D"/>
    <w:rsid w:val="005B1D26"/>
    <w:rsid w:val="005B3C17"/>
    <w:rsid w:val="005B3CE2"/>
    <w:rsid w:val="005B67AE"/>
    <w:rsid w:val="005D0B0A"/>
    <w:rsid w:val="005D1B28"/>
    <w:rsid w:val="005D2CE2"/>
    <w:rsid w:val="005E2C05"/>
    <w:rsid w:val="005E38CF"/>
    <w:rsid w:val="005E4259"/>
    <w:rsid w:val="005E493E"/>
    <w:rsid w:val="005E5478"/>
    <w:rsid w:val="005F04FD"/>
    <w:rsid w:val="00600C57"/>
    <w:rsid w:val="00601AFE"/>
    <w:rsid w:val="00606A62"/>
    <w:rsid w:val="00613B78"/>
    <w:rsid w:val="00617D0E"/>
    <w:rsid w:val="006226D9"/>
    <w:rsid w:val="00622857"/>
    <w:rsid w:val="00626183"/>
    <w:rsid w:val="00626E41"/>
    <w:rsid w:val="00630FB5"/>
    <w:rsid w:val="00635E93"/>
    <w:rsid w:val="00637533"/>
    <w:rsid w:val="00644DC9"/>
    <w:rsid w:val="006450EC"/>
    <w:rsid w:val="00645CE0"/>
    <w:rsid w:val="0064709D"/>
    <w:rsid w:val="00651064"/>
    <w:rsid w:val="00652169"/>
    <w:rsid w:val="006563E4"/>
    <w:rsid w:val="00660068"/>
    <w:rsid w:val="0067146C"/>
    <w:rsid w:val="00672954"/>
    <w:rsid w:val="006729BA"/>
    <w:rsid w:val="00673223"/>
    <w:rsid w:val="00682E60"/>
    <w:rsid w:val="00683AE8"/>
    <w:rsid w:val="006855F3"/>
    <w:rsid w:val="006929AC"/>
    <w:rsid w:val="006947D6"/>
    <w:rsid w:val="00696A12"/>
    <w:rsid w:val="006A3B7D"/>
    <w:rsid w:val="006B09ED"/>
    <w:rsid w:val="006B0BD9"/>
    <w:rsid w:val="006B317E"/>
    <w:rsid w:val="006B3C41"/>
    <w:rsid w:val="006B546A"/>
    <w:rsid w:val="006C3D56"/>
    <w:rsid w:val="006D356F"/>
    <w:rsid w:val="006E2B8A"/>
    <w:rsid w:val="006F557A"/>
    <w:rsid w:val="00700AB2"/>
    <w:rsid w:val="0070189E"/>
    <w:rsid w:val="00705924"/>
    <w:rsid w:val="00710B9E"/>
    <w:rsid w:val="0071436E"/>
    <w:rsid w:val="007152C8"/>
    <w:rsid w:val="00715EC7"/>
    <w:rsid w:val="00717809"/>
    <w:rsid w:val="00720E66"/>
    <w:rsid w:val="00721A3D"/>
    <w:rsid w:val="00723601"/>
    <w:rsid w:val="00737DD2"/>
    <w:rsid w:val="007444BB"/>
    <w:rsid w:val="00744E2C"/>
    <w:rsid w:val="00751E71"/>
    <w:rsid w:val="00754E19"/>
    <w:rsid w:val="00761065"/>
    <w:rsid w:val="00764870"/>
    <w:rsid w:val="007718BB"/>
    <w:rsid w:val="0077198F"/>
    <w:rsid w:val="0077272B"/>
    <w:rsid w:val="00774293"/>
    <w:rsid w:val="00782A27"/>
    <w:rsid w:val="00782F79"/>
    <w:rsid w:val="0078661D"/>
    <w:rsid w:val="00790788"/>
    <w:rsid w:val="0079098A"/>
    <w:rsid w:val="00791756"/>
    <w:rsid w:val="0079238B"/>
    <w:rsid w:val="0079717A"/>
    <w:rsid w:val="0079740A"/>
    <w:rsid w:val="007A1FDB"/>
    <w:rsid w:val="007A2649"/>
    <w:rsid w:val="007A42F9"/>
    <w:rsid w:val="007A5D30"/>
    <w:rsid w:val="007B02E7"/>
    <w:rsid w:val="007B34CF"/>
    <w:rsid w:val="007B7056"/>
    <w:rsid w:val="007B749E"/>
    <w:rsid w:val="007C5272"/>
    <w:rsid w:val="007C54C6"/>
    <w:rsid w:val="007D27BB"/>
    <w:rsid w:val="007D49AE"/>
    <w:rsid w:val="007E0980"/>
    <w:rsid w:val="007E24BD"/>
    <w:rsid w:val="007E2803"/>
    <w:rsid w:val="007E4431"/>
    <w:rsid w:val="007E75F0"/>
    <w:rsid w:val="007F0428"/>
    <w:rsid w:val="007F1A36"/>
    <w:rsid w:val="007F6407"/>
    <w:rsid w:val="008071E5"/>
    <w:rsid w:val="00807C36"/>
    <w:rsid w:val="00807F18"/>
    <w:rsid w:val="0081018F"/>
    <w:rsid w:val="0081351B"/>
    <w:rsid w:val="00814326"/>
    <w:rsid w:val="00816B91"/>
    <w:rsid w:val="0082019A"/>
    <w:rsid w:val="00821158"/>
    <w:rsid w:val="00823138"/>
    <w:rsid w:val="00831657"/>
    <w:rsid w:val="008372F2"/>
    <w:rsid w:val="00840617"/>
    <w:rsid w:val="00843154"/>
    <w:rsid w:val="00847EFB"/>
    <w:rsid w:val="008533F9"/>
    <w:rsid w:val="0085359A"/>
    <w:rsid w:val="00856A72"/>
    <w:rsid w:val="00856AA7"/>
    <w:rsid w:val="00857015"/>
    <w:rsid w:val="00860EBF"/>
    <w:rsid w:val="008635C3"/>
    <w:rsid w:val="00864A41"/>
    <w:rsid w:val="00865F3F"/>
    <w:rsid w:val="0086736A"/>
    <w:rsid w:val="00870296"/>
    <w:rsid w:val="00875235"/>
    <w:rsid w:val="0088296C"/>
    <w:rsid w:val="00891604"/>
    <w:rsid w:val="008957FF"/>
    <w:rsid w:val="008A050D"/>
    <w:rsid w:val="008A272F"/>
    <w:rsid w:val="008A66F2"/>
    <w:rsid w:val="008A69D3"/>
    <w:rsid w:val="008C0463"/>
    <w:rsid w:val="008C61DC"/>
    <w:rsid w:val="008D0AC2"/>
    <w:rsid w:val="008E4473"/>
    <w:rsid w:val="008E6D84"/>
    <w:rsid w:val="008F37AA"/>
    <w:rsid w:val="008F41E6"/>
    <w:rsid w:val="008F5A01"/>
    <w:rsid w:val="009016DB"/>
    <w:rsid w:val="0090328D"/>
    <w:rsid w:val="00905F40"/>
    <w:rsid w:val="00907BE4"/>
    <w:rsid w:val="009109A8"/>
    <w:rsid w:val="00917164"/>
    <w:rsid w:val="00920CA8"/>
    <w:rsid w:val="009304A4"/>
    <w:rsid w:val="00930E81"/>
    <w:rsid w:val="0093285F"/>
    <w:rsid w:val="009442E4"/>
    <w:rsid w:val="00945AB5"/>
    <w:rsid w:val="00945ADB"/>
    <w:rsid w:val="00945C61"/>
    <w:rsid w:val="00950474"/>
    <w:rsid w:val="00961550"/>
    <w:rsid w:val="00961D52"/>
    <w:rsid w:val="00965840"/>
    <w:rsid w:val="0096752C"/>
    <w:rsid w:val="00971D47"/>
    <w:rsid w:val="009735F9"/>
    <w:rsid w:val="00973C80"/>
    <w:rsid w:val="00975187"/>
    <w:rsid w:val="00975C7A"/>
    <w:rsid w:val="00980306"/>
    <w:rsid w:val="0098079B"/>
    <w:rsid w:val="00983805"/>
    <w:rsid w:val="00986159"/>
    <w:rsid w:val="009905B3"/>
    <w:rsid w:val="0099150E"/>
    <w:rsid w:val="009A0FA6"/>
    <w:rsid w:val="009A6F70"/>
    <w:rsid w:val="009C0BC6"/>
    <w:rsid w:val="009C120D"/>
    <w:rsid w:val="009C3A33"/>
    <w:rsid w:val="009C3FAF"/>
    <w:rsid w:val="009C52F0"/>
    <w:rsid w:val="009C5606"/>
    <w:rsid w:val="009C645D"/>
    <w:rsid w:val="009D1BA6"/>
    <w:rsid w:val="009D3541"/>
    <w:rsid w:val="009D4FF9"/>
    <w:rsid w:val="009D5F9C"/>
    <w:rsid w:val="009D63BA"/>
    <w:rsid w:val="009D7B1D"/>
    <w:rsid w:val="009D7E7D"/>
    <w:rsid w:val="009E41E5"/>
    <w:rsid w:val="009E520E"/>
    <w:rsid w:val="009E7E97"/>
    <w:rsid w:val="009F2E32"/>
    <w:rsid w:val="009F6533"/>
    <w:rsid w:val="009F66D9"/>
    <w:rsid w:val="009F66E5"/>
    <w:rsid w:val="00A0242C"/>
    <w:rsid w:val="00A03997"/>
    <w:rsid w:val="00A07353"/>
    <w:rsid w:val="00A14507"/>
    <w:rsid w:val="00A179E3"/>
    <w:rsid w:val="00A239ED"/>
    <w:rsid w:val="00A27818"/>
    <w:rsid w:val="00A329AD"/>
    <w:rsid w:val="00A33053"/>
    <w:rsid w:val="00A41577"/>
    <w:rsid w:val="00A41ADD"/>
    <w:rsid w:val="00A5584B"/>
    <w:rsid w:val="00A558C6"/>
    <w:rsid w:val="00A559BA"/>
    <w:rsid w:val="00A615FB"/>
    <w:rsid w:val="00A6326B"/>
    <w:rsid w:val="00A642B1"/>
    <w:rsid w:val="00A66248"/>
    <w:rsid w:val="00A66EA3"/>
    <w:rsid w:val="00A7416B"/>
    <w:rsid w:val="00A81DDA"/>
    <w:rsid w:val="00A832EC"/>
    <w:rsid w:val="00A8576F"/>
    <w:rsid w:val="00A86337"/>
    <w:rsid w:val="00A91C4A"/>
    <w:rsid w:val="00A941CB"/>
    <w:rsid w:val="00AB192D"/>
    <w:rsid w:val="00AB396A"/>
    <w:rsid w:val="00AB67C7"/>
    <w:rsid w:val="00AB68E1"/>
    <w:rsid w:val="00AB72AA"/>
    <w:rsid w:val="00AC1502"/>
    <w:rsid w:val="00AC152D"/>
    <w:rsid w:val="00AC3677"/>
    <w:rsid w:val="00AC3E2F"/>
    <w:rsid w:val="00AC3E42"/>
    <w:rsid w:val="00AC442A"/>
    <w:rsid w:val="00AC4717"/>
    <w:rsid w:val="00AC4FDB"/>
    <w:rsid w:val="00AD093A"/>
    <w:rsid w:val="00AD1657"/>
    <w:rsid w:val="00AD25B4"/>
    <w:rsid w:val="00AE0365"/>
    <w:rsid w:val="00AE1E08"/>
    <w:rsid w:val="00AE4264"/>
    <w:rsid w:val="00AE4712"/>
    <w:rsid w:val="00AF43E2"/>
    <w:rsid w:val="00AF552C"/>
    <w:rsid w:val="00AF5BDF"/>
    <w:rsid w:val="00B03735"/>
    <w:rsid w:val="00B241B2"/>
    <w:rsid w:val="00B303AE"/>
    <w:rsid w:val="00B33663"/>
    <w:rsid w:val="00B3411F"/>
    <w:rsid w:val="00B35B88"/>
    <w:rsid w:val="00B40045"/>
    <w:rsid w:val="00B417A9"/>
    <w:rsid w:val="00B44F2F"/>
    <w:rsid w:val="00B45845"/>
    <w:rsid w:val="00B468F3"/>
    <w:rsid w:val="00B5499B"/>
    <w:rsid w:val="00B55F2E"/>
    <w:rsid w:val="00B60102"/>
    <w:rsid w:val="00B60309"/>
    <w:rsid w:val="00B665D5"/>
    <w:rsid w:val="00B713AA"/>
    <w:rsid w:val="00B729CD"/>
    <w:rsid w:val="00B85C75"/>
    <w:rsid w:val="00B85F7A"/>
    <w:rsid w:val="00B86633"/>
    <w:rsid w:val="00B952E7"/>
    <w:rsid w:val="00B956DF"/>
    <w:rsid w:val="00BA44CF"/>
    <w:rsid w:val="00BB7FC3"/>
    <w:rsid w:val="00BC1783"/>
    <w:rsid w:val="00BE1E9E"/>
    <w:rsid w:val="00BE2C9E"/>
    <w:rsid w:val="00BE4B31"/>
    <w:rsid w:val="00BE73D9"/>
    <w:rsid w:val="00BF03B5"/>
    <w:rsid w:val="00BF1629"/>
    <w:rsid w:val="00BF3DA6"/>
    <w:rsid w:val="00BF79C6"/>
    <w:rsid w:val="00C02497"/>
    <w:rsid w:val="00C05A41"/>
    <w:rsid w:val="00C064AC"/>
    <w:rsid w:val="00C068E1"/>
    <w:rsid w:val="00C07B82"/>
    <w:rsid w:val="00C07F83"/>
    <w:rsid w:val="00C11AD5"/>
    <w:rsid w:val="00C1249C"/>
    <w:rsid w:val="00C12AEE"/>
    <w:rsid w:val="00C158E0"/>
    <w:rsid w:val="00C23B0C"/>
    <w:rsid w:val="00C245EB"/>
    <w:rsid w:val="00C26A6F"/>
    <w:rsid w:val="00C31BC8"/>
    <w:rsid w:val="00C324FA"/>
    <w:rsid w:val="00C3573C"/>
    <w:rsid w:val="00C40D34"/>
    <w:rsid w:val="00C43B08"/>
    <w:rsid w:val="00C5274B"/>
    <w:rsid w:val="00C54381"/>
    <w:rsid w:val="00C62F85"/>
    <w:rsid w:val="00C67069"/>
    <w:rsid w:val="00C75135"/>
    <w:rsid w:val="00C813ED"/>
    <w:rsid w:val="00C82701"/>
    <w:rsid w:val="00C94F67"/>
    <w:rsid w:val="00CA6A80"/>
    <w:rsid w:val="00CB0D53"/>
    <w:rsid w:val="00CB4F88"/>
    <w:rsid w:val="00CD0EC7"/>
    <w:rsid w:val="00CD18A4"/>
    <w:rsid w:val="00CE22E5"/>
    <w:rsid w:val="00CE7156"/>
    <w:rsid w:val="00CE7504"/>
    <w:rsid w:val="00CF0FC8"/>
    <w:rsid w:val="00CF163D"/>
    <w:rsid w:val="00CF5875"/>
    <w:rsid w:val="00D04A60"/>
    <w:rsid w:val="00D04FD1"/>
    <w:rsid w:val="00D12A2E"/>
    <w:rsid w:val="00D13C01"/>
    <w:rsid w:val="00D156FE"/>
    <w:rsid w:val="00D23C21"/>
    <w:rsid w:val="00D32113"/>
    <w:rsid w:val="00D37A7E"/>
    <w:rsid w:val="00D546EE"/>
    <w:rsid w:val="00D6209B"/>
    <w:rsid w:val="00D65185"/>
    <w:rsid w:val="00D70106"/>
    <w:rsid w:val="00D7459F"/>
    <w:rsid w:val="00D823A1"/>
    <w:rsid w:val="00D84A42"/>
    <w:rsid w:val="00D93F16"/>
    <w:rsid w:val="00DA3CA6"/>
    <w:rsid w:val="00DA4E8A"/>
    <w:rsid w:val="00DA62BA"/>
    <w:rsid w:val="00DA7B92"/>
    <w:rsid w:val="00DB2576"/>
    <w:rsid w:val="00DB41AD"/>
    <w:rsid w:val="00DB7616"/>
    <w:rsid w:val="00DC4CF6"/>
    <w:rsid w:val="00DD4727"/>
    <w:rsid w:val="00DE3525"/>
    <w:rsid w:val="00DF07AD"/>
    <w:rsid w:val="00DF1573"/>
    <w:rsid w:val="00DF204B"/>
    <w:rsid w:val="00DF4B20"/>
    <w:rsid w:val="00DF5A12"/>
    <w:rsid w:val="00E07B0F"/>
    <w:rsid w:val="00E12C37"/>
    <w:rsid w:val="00E25F9E"/>
    <w:rsid w:val="00E30D26"/>
    <w:rsid w:val="00E50725"/>
    <w:rsid w:val="00E507A4"/>
    <w:rsid w:val="00E50BE4"/>
    <w:rsid w:val="00E52AB6"/>
    <w:rsid w:val="00E55242"/>
    <w:rsid w:val="00E6141F"/>
    <w:rsid w:val="00E75E94"/>
    <w:rsid w:val="00E7722B"/>
    <w:rsid w:val="00E80346"/>
    <w:rsid w:val="00E833B0"/>
    <w:rsid w:val="00E8661A"/>
    <w:rsid w:val="00E9627B"/>
    <w:rsid w:val="00EA0E3E"/>
    <w:rsid w:val="00EB0405"/>
    <w:rsid w:val="00EB5A2E"/>
    <w:rsid w:val="00EB5EAB"/>
    <w:rsid w:val="00EB7AD8"/>
    <w:rsid w:val="00EB7CB5"/>
    <w:rsid w:val="00EC0518"/>
    <w:rsid w:val="00EC0AE2"/>
    <w:rsid w:val="00EC19D1"/>
    <w:rsid w:val="00EC3439"/>
    <w:rsid w:val="00EC55B5"/>
    <w:rsid w:val="00ED231F"/>
    <w:rsid w:val="00ED459A"/>
    <w:rsid w:val="00ED4A54"/>
    <w:rsid w:val="00ED56B0"/>
    <w:rsid w:val="00ED6A67"/>
    <w:rsid w:val="00EE732A"/>
    <w:rsid w:val="00EF04D3"/>
    <w:rsid w:val="00EF125D"/>
    <w:rsid w:val="00EF2E58"/>
    <w:rsid w:val="00EF54AD"/>
    <w:rsid w:val="00EF6F46"/>
    <w:rsid w:val="00F00AA7"/>
    <w:rsid w:val="00F10988"/>
    <w:rsid w:val="00F1118A"/>
    <w:rsid w:val="00F13B20"/>
    <w:rsid w:val="00F14906"/>
    <w:rsid w:val="00F159B4"/>
    <w:rsid w:val="00F200CA"/>
    <w:rsid w:val="00F20833"/>
    <w:rsid w:val="00F20F4F"/>
    <w:rsid w:val="00F22D74"/>
    <w:rsid w:val="00F25E19"/>
    <w:rsid w:val="00F264C7"/>
    <w:rsid w:val="00F338EA"/>
    <w:rsid w:val="00F41661"/>
    <w:rsid w:val="00F4367D"/>
    <w:rsid w:val="00F503C4"/>
    <w:rsid w:val="00F50AD7"/>
    <w:rsid w:val="00F511DB"/>
    <w:rsid w:val="00F531DC"/>
    <w:rsid w:val="00F54766"/>
    <w:rsid w:val="00F565C0"/>
    <w:rsid w:val="00F701F9"/>
    <w:rsid w:val="00F73243"/>
    <w:rsid w:val="00F860EF"/>
    <w:rsid w:val="00F906B5"/>
    <w:rsid w:val="00F907AC"/>
    <w:rsid w:val="00F91A10"/>
    <w:rsid w:val="00F9479F"/>
    <w:rsid w:val="00FA033A"/>
    <w:rsid w:val="00FA03F7"/>
    <w:rsid w:val="00FA1043"/>
    <w:rsid w:val="00FA488E"/>
    <w:rsid w:val="00FA49A7"/>
    <w:rsid w:val="00FA5485"/>
    <w:rsid w:val="00FA77D5"/>
    <w:rsid w:val="00FB0F30"/>
    <w:rsid w:val="00FB1B7C"/>
    <w:rsid w:val="00FB1BFC"/>
    <w:rsid w:val="00FB2174"/>
    <w:rsid w:val="00FB4C97"/>
    <w:rsid w:val="00FB7CEE"/>
    <w:rsid w:val="00FC5B29"/>
    <w:rsid w:val="00FD0EF4"/>
    <w:rsid w:val="00FD1346"/>
    <w:rsid w:val="00FD1B51"/>
    <w:rsid w:val="00FD3722"/>
    <w:rsid w:val="00FE5C61"/>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51FE"/>
  <w15:docId w15:val="{D0D400C9-7563-4358-A507-8703B60F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5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F6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66EA3"/>
    <w:pPr>
      <w:keepNext/>
      <w:outlineLvl w:val="1"/>
    </w:pPr>
    <w:rPr>
      <w:sz w:val="24"/>
      <w:u w:val="single"/>
    </w:rPr>
  </w:style>
  <w:style w:type="paragraph" w:styleId="Heading3">
    <w:name w:val="heading 3"/>
    <w:basedOn w:val="Normal"/>
    <w:next w:val="Normal"/>
    <w:link w:val="Heading3Char"/>
    <w:qFormat/>
    <w:rsid w:val="00A66EA3"/>
    <w:pPr>
      <w:keepNext/>
      <w:outlineLvl w:val="2"/>
    </w:pPr>
    <w:rPr>
      <w:u w:val="single"/>
    </w:rPr>
  </w:style>
  <w:style w:type="paragraph" w:styleId="Heading4">
    <w:name w:val="heading 4"/>
    <w:basedOn w:val="Normal"/>
    <w:next w:val="Normal"/>
    <w:link w:val="Heading4Char"/>
    <w:qFormat/>
    <w:rsid w:val="00A66EA3"/>
    <w:pPr>
      <w:keepNext/>
      <w:jc w:val="center"/>
      <w:outlineLvl w:val="3"/>
    </w:pPr>
    <w:rPr>
      <w:b/>
      <w:sz w:val="24"/>
    </w:rPr>
  </w:style>
  <w:style w:type="paragraph" w:styleId="Heading6">
    <w:name w:val="heading 6"/>
    <w:basedOn w:val="Normal"/>
    <w:next w:val="Normal"/>
    <w:link w:val="Heading6Char"/>
    <w:qFormat/>
    <w:rsid w:val="00A66EA3"/>
    <w:pPr>
      <w:keepNext/>
      <w:framePr w:h="732" w:hRule="exact" w:hSpace="187" w:wrap="auto" w:vAnchor="text" w:hAnchor="page" w:x="2602" w:y="-141"/>
      <w:outlineLvl w:val="5"/>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6EA3"/>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A66EA3"/>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A66EA3"/>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66EA3"/>
    <w:rPr>
      <w:rFonts w:ascii="Times New Roman" w:eastAsia="Times New Roman" w:hAnsi="Times New Roman" w:cs="Times New Roman"/>
      <w:b/>
      <w:i/>
      <w:sz w:val="40"/>
      <w:szCs w:val="20"/>
    </w:rPr>
  </w:style>
  <w:style w:type="paragraph" w:styleId="PlainText">
    <w:name w:val="Plain Text"/>
    <w:basedOn w:val="Normal"/>
    <w:link w:val="PlainTextChar"/>
    <w:rsid w:val="00A66EA3"/>
    <w:rPr>
      <w:rFonts w:ascii="Courier New" w:hAnsi="Courier New"/>
    </w:rPr>
  </w:style>
  <w:style w:type="character" w:customStyle="1" w:styleId="PlainTextChar">
    <w:name w:val="Plain Text Char"/>
    <w:basedOn w:val="DefaultParagraphFont"/>
    <w:link w:val="PlainText"/>
    <w:rsid w:val="00A66EA3"/>
    <w:rPr>
      <w:rFonts w:ascii="Courier New" w:eastAsia="Times New Roman" w:hAnsi="Courier New" w:cs="Times New Roman"/>
      <w:sz w:val="20"/>
      <w:szCs w:val="20"/>
    </w:rPr>
  </w:style>
  <w:style w:type="paragraph" w:styleId="Header">
    <w:name w:val="header"/>
    <w:basedOn w:val="Normal"/>
    <w:link w:val="HeaderChar"/>
    <w:rsid w:val="00A66EA3"/>
    <w:pPr>
      <w:tabs>
        <w:tab w:val="center" w:pos="4320"/>
        <w:tab w:val="right" w:pos="8640"/>
      </w:tabs>
    </w:pPr>
  </w:style>
  <w:style w:type="character" w:customStyle="1" w:styleId="HeaderChar">
    <w:name w:val="Header Char"/>
    <w:basedOn w:val="DefaultParagraphFont"/>
    <w:link w:val="Header"/>
    <w:rsid w:val="00A66EA3"/>
    <w:rPr>
      <w:rFonts w:ascii="Times New Roman" w:eastAsia="Times New Roman" w:hAnsi="Times New Roman" w:cs="Times New Roman"/>
      <w:sz w:val="20"/>
      <w:szCs w:val="20"/>
    </w:rPr>
  </w:style>
  <w:style w:type="paragraph" w:styleId="Footer">
    <w:name w:val="footer"/>
    <w:basedOn w:val="Normal"/>
    <w:link w:val="FooterChar"/>
    <w:semiHidden/>
    <w:rsid w:val="00A66EA3"/>
    <w:pPr>
      <w:tabs>
        <w:tab w:val="center" w:pos="4320"/>
        <w:tab w:val="right" w:pos="8640"/>
      </w:tabs>
    </w:pPr>
  </w:style>
  <w:style w:type="character" w:customStyle="1" w:styleId="FooterChar">
    <w:name w:val="Footer Char"/>
    <w:basedOn w:val="DefaultParagraphFont"/>
    <w:link w:val="Footer"/>
    <w:semiHidden/>
    <w:rsid w:val="00A66EA3"/>
    <w:rPr>
      <w:rFonts w:ascii="Times New Roman" w:eastAsia="Times New Roman" w:hAnsi="Times New Roman" w:cs="Times New Roman"/>
      <w:sz w:val="20"/>
      <w:szCs w:val="20"/>
    </w:rPr>
  </w:style>
  <w:style w:type="paragraph" w:styleId="Caption">
    <w:name w:val="caption"/>
    <w:basedOn w:val="Normal"/>
    <w:next w:val="Normal"/>
    <w:qFormat/>
    <w:rsid w:val="00A66EA3"/>
    <w:pPr>
      <w:jc w:val="center"/>
    </w:pPr>
    <w:rPr>
      <w:b/>
      <w:sz w:val="24"/>
    </w:rPr>
  </w:style>
  <w:style w:type="paragraph" w:styleId="BodyText3">
    <w:name w:val="Body Text 3"/>
    <w:basedOn w:val="Normal"/>
    <w:link w:val="BodyText3Char"/>
    <w:semiHidden/>
    <w:rsid w:val="00A66EA3"/>
    <w:pPr>
      <w:jc w:val="center"/>
    </w:pPr>
    <w:rPr>
      <w:b/>
      <w:sz w:val="24"/>
    </w:rPr>
  </w:style>
  <w:style w:type="character" w:customStyle="1" w:styleId="BodyText3Char">
    <w:name w:val="Body Text 3 Char"/>
    <w:basedOn w:val="DefaultParagraphFont"/>
    <w:link w:val="BodyText3"/>
    <w:semiHidden/>
    <w:rsid w:val="00A66EA3"/>
    <w:rPr>
      <w:rFonts w:ascii="Times New Roman" w:eastAsia="Times New Roman" w:hAnsi="Times New Roman" w:cs="Times New Roman"/>
      <w:b/>
      <w:sz w:val="24"/>
      <w:szCs w:val="20"/>
    </w:rPr>
  </w:style>
  <w:style w:type="paragraph" w:styleId="NormalWeb">
    <w:name w:val="Normal (Web)"/>
    <w:basedOn w:val="Normal"/>
    <w:uiPriority w:val="99"/>
    <w:unhideWhenUsed/>
    <w:rsid w:val="00A66EA3"/>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A66EA3"/>
    <w:pPr>
      <w:ind w:left="720"/>
      <w:contextualSpacing/>
    </w:pPr>
  </w:style>
  <w:style w:type="paragraph" w:styleId="BalloonText">
    <w:name w:val="Balloon Text"/>
    <w:basedOn w:val="Normal"/>
    <w:link w:val="BalloonTextChar"/>
    <w:uiPriority w:val="99"/>
    <w:semiHidden/>
    <w:unhideWhenUsed/>
    <w:rsid w:val="00A66EA3"/>
    <w:rPr>
      <w:rFonts w:ascii="Tahoma" w:hAnsi="Tahoma" w:cs="Tahoma"/>
      <w:sz w:val="16"/>
      <w:szCs w:val="16"/>
    </w:rPr>
  </w:style>
  <w:style w:type="character" w:customStyle="1" w:styleId="BalloonTextChar">
    <w:name w:val="Balloon Text Char"/>
    <w:basedOn w:val="DefaultParagraphFont"/>
    <w:link w:val="BalloonText"/>
    <w:uiPriority w:val="99"/>
    <w:semiHidden/>
    <w:rsid w:val="00A66E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85F7A"/>
    <w:rPr>
      <w:sz w:val="16"/>
      <w:szCs w:val="16"/>
    </w:rPr>
  </w:style>
  <w:style w:type="paragraph" w:styleId="CommentText">
    <w:name w:val="annotation text"/>
    <w:basedOn w:val="Normal"/>
    <w:link w:val="CommentTextChar"/>
    <w:uiPriority w:val="99"/>
    <w:semiHidden/>
    <w:unhideWhenUsed/>
    <w:rsid w:val="00B85F7A"/>
  </w:style>
  <w:style w:type="character" w:customStyle="1" w:styleId="CommentTextChar">
    <w:name w:val="Comment Text Char"/>
    <w:basedOn w:val="DefaultParagraphFont"/>
    <w:link w:val="CommentText"/>
    <w:uiPriority w:val="99"/>
    <w:semiHidden/>
    <w:rsid w:val="00B85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5F7A"/>
    <w:rPr>
      <w:b/>
      <w:bCs/>
    </w:rPr>
  </w:style>
  <w:style w:type="character" w:customStyle="1" w:styleId="CommentSubjectChar">
    <w:name w:val="Comment Subject Char"/>
    <w:basedOn w:val="CommentTextChar"/>
    <w:link w:val="CommentSubject"/>
    <w:uiPriority w:val="99"/>
    <w:semiHidden/>
    <w:rsid w:val="00B85F7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4B0A60"/>
  </w:style>
  <w:style w:type="character" w:customStyle="1" w:styleId="FootnoteTextChar">
    <w:name w:val="Footnote Text Char"/>
    <w:basedOn w:val="DefaultParagraphFont"/>
    <w:link w:val="FootnoteText"/>
    <w:uiPriority w:val="99"/>
    <w:semiHidden/>
    <w:rsid w:val="004B0A6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0A60"/>
    <w:rPr>
      <w:vertAlign w:val="superscript"/>
    </w:rPr>
  </w:style>
  <w:style w:type="paragraph" w:styleId="Revision">
    <w:name w:val="Revision"/>
    <w:hidden/>
    <w:uiPriority w:val="99"/>
    <w:semiHidden/>
    <w:rsid w:val="00E833B0"/>
    <w:pPr>
      <w:spacing w:after="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D13C01"/>
  </w:style>
  <w:style w:type="character" w:customStyle="1" w:styleId="BodyTextChar">
    <w:name w:val="Body Text Char"/>
    <w:basedOn w:val="DefaultParagraphFont"/>
    <w:link w:val="BodyText"/>
    <w:uiPriority w:val="99"/>
    <w:rsid w:val="00D13C01"/>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5927A4"/>
    <w:pPr>
      <w:ind w:left="360"/>
    </w:pPr>
  </w:style>
  <w:style w:type="character" w:customStyle="1" w:styleId="BodyTextIndentChar">
    <w:name w:val="Body Text Indent Char"/>
    <w:basedOn w:val="DefaultParagraphFont"/>
    <w:link w:val="BodyTextIndent"/>
    <w:uiPriority w:val="99"/>
    <w:rsid w:val="005927A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64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1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4536">
      <w:bodyDiv w:val="1"/>
      <w:marLeft w:val="0"/>
      <w:marRight w:val="0"/>
      <w:marTop w:val="0"/>
      <w:marBottom w:val="0"/>
      <w:divBdr>
        <w:top w:val="none" w:sz="0" w:space="0" w:color="auto"/>
        <w:left w:val="none" w:sz="0" w:space="0" w:color="auto"/>
        <w:bottom w:val="none" w:sz="0" w:space="0" w:color="auto"/>
        <w:right w:val="none" w:sz="0" w:space="0" w:color="auto"/>
      </w:divBdr>
    </w:div>
    <w:div w:id="1314530036">
      <w:bodyDiv w:val="1"/>
      <w:marLeft w:val="0"/>
      <w:marRight w:val="0"/>
      <w:marTop w:val="0"/>
      <w:marBottom w:val="0"/>
      <w:divBdr>
        <w:top w:val="none" w:sz="0" w:space="0" w:color="auto"/>
        <w:left w:val="none" w:sz="0" w:space="0" w:color="auto"/>
        <w:bottom w:val="none" w:sz="0" w:space="0" w:color="auto"/>
        <w:right w:val="none" w:sz="0" w:space="0" w:color="auto"/>
      </w:divBdr>
    </w:div>
    <w:div w:id="17230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D3D4C-3758-4A0E-BF59-2453FD7E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Ciollo</dc:creator>
  <cp:lastModifiedBy>Walters, Miles</cp:lastModifiedBy>
  <cp:revision>2</cp:revision>
  <cp:lastPrinted>2017-02-28T21:15:00Z</cp:lastPrinted>
  <dcterms:created xsi:type="dcterms:W3CDTF">2017-03-17T18:30:00Z</dcterms:created>
  <dcterms:modified xsi:type="dcterms:W3CDTF">2017-03-17T18:30:00Z</dcterms:modified>
</cp:coreProperties>
</file>